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01A" w:rsidRDefault="00122D9D" w:rsidP="00B3444D">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A Flexible Plastic M</w:t>
      </w:r>
      <w:r w:rsidR="00D46D83">
        <w:rPr>
          <w:rFonts w:ascii="Times New Roman" w:hAnsi="Times New Roman"/>
          <w:b/>
          <w:sz w:val="28"/>
          <w:szCs w:val="28"/>
        </w:rPr>
        <w:t>icromixer for Immunosensor Application</w:t>
      </w:r>
    </w:p>
    <w:p w:rsidR="00B3444D" w:rsidRDefault="00B3444D" w:rsidP="00B3444D">
      <w:pPr>
        <w:spacing w:after="0" w:line="240" w:lineRule="auto"/>
        <w:jc w:val="center"/>
        <w:rPr>
          <w:rFonts w:ascii="Times New Roman" w:hAnsi="Times New Roman"/>
          <w:b/>
          <w:sz w:val="28"/>
          <w:szCs w:val="28"/>
        </w:rPr>
      </w:pPr>
    </w:p>
    <w:p w:rsidR="00CB2480" w:rsidRPr="005E3CC3" w:rsidRDefault="00F17F38" w:rsidP="00B3444D">
      <w:pPr>
        <w:spacing w:after="0" w:line="240" w:lineRule="auto"/>
        <w:jc w:val="center"/>
        <w:rPr>
          <w:rFonts w:ascii="Times New Roman" w:hAnsi="Times New Roman"/>
          <w:sz w:val="20"/>
          <w:szCs w:val="20"/>
        </w:rPr>
      </w:pPr>
      <w:r w:rsidRPr="005E3CC3">
        <w:rPr>
          <w:rFonts w:ascii="Times New Roman" w:hAnsi="Times New Roman"/>
          <w:sz w:val="20"/>
          <w:szCs w:val="20"/>
        </w:rPr>
        <w:t>Senaka Kanakamedala</w:t>
      </w:r>
      <w:r w:rsidR="001C2EF8" w:rsidRPr="005E3CC3">
        <w:rPr>
          <w:rFonts w:ascii="Times New Roman" w:hAnsi="Times New Roman"/>
          <w:sz w:val="20"/>
          <w:szCs w:val="20"/>
          <w:vertAlign w:val="superscript"/>
        </w:rPr>
        <w:t>1,2</w:t>
      </w:r>
      <w:r w:rsidR="001C2EF8" w:rsidRPr="005E3CC3">
        <w:rPr>
          <w:rFonts w:ascii="Times New Roman" w:hAnsi="Times New Roman"/>
          <w:sz w:val="20"/>
          <w:szCs w:val="20"/>
        </w:rPr>
        <w:t>,</w:t>
      </w:r>
      <w:r w:rsidR="00D46D83" w:rsidRPr="005E3CC3">
        <w:rPr>
          <w:rFonts w:ascii="Times New Roman" w:hAnsi="Times New Roman"/>
          <w:sz w:val="20"/>
          <w:szCs w:val="20"/>
        </w:rPr>
        <w:t xml:space="preserve"> </w:t>
      </w:r>
      <w:r w:rsidR="001C2EF8" w:rsidRPr="005E3CC3">
        <w:rPr>
          <w:rFonts w:ascii="Times New Roman" w:hAnsi="Times New Roman"/>
          <w:sz w:val="20"/>
          <w:szCs w:val="20"/>
        </w:rPr>
        <w:t xml:space="preserve"> </w:t>
      </w:r>
      <w:r w:rsidRPr="005E3CC3">
        <w:rPr>
          <w:rFonts w:ascii="Times New Roman" w:hAnsi="Times New Roman"/>
          <w:sz w:val="20"/>
          <w:szCs w:val="20"/>
        </w:rPr>
        <w:t>Ji Fang</w:t>
      </w:r>
      <w:r w:rsidRPr="005E3CC3">
        <w:rPr>
          <w:rFonts w:ascii="Times New Roman" w:hAnsi="Times New Roman"/>
          <w:sz w:val="20"/>
          <w:szCs w:val="20"/>
          <w:vertAlign w:val="superscript"/>
        </w:rPr>
        <w:t>1</w:t>
      </w:r>
      <w:r w:rsidR="00D46D83" w:rsidRPr="005E3CC3">
        <w:rPr>
          <w:rFonts w:ascii="Times New Roman" w:hAnsi="Times New Roman"/>
          <w:sz w:val="20"/>
          <w:szCs w:val="20"/>
        </w:rPr>
        <w:t xml:space="preserve">, and </w:t>
      </w:r>
      <w:r w:rsidRPr="005E3CC3">
        <w:rPr>
          <w:rFonts w:ascii="Times New Roman" w:hAnsi="Times New Roman"/>
          <w:sz w:val="20"/>
          <w:szCs w:val="20"/>
        </w:rPr>
        <w:t>Mark DeCoster</w:t>
      </w:r>
      <w:r w:rsidR="001C2EF8" w:rsidRPr="005E3CC3">
        <w:rPr>
          <w:rFonts w:ascii="Times New Roman" w:hAnsi="Times New Roman"/>
          <w:sz w:val="20"/>
          <w:szCs w:val="20"/>
          <w:vertAlign w:val="superscript"/>
        </w:rPr>
        <w:t>1,</w:t>
      </w:r>
      <w:r w:rsidRPr="005E3CC3">
        <w:rPr>
          <w:rFonts w:ascii="Times New Roman" w:hAnsi="Times New Roman"/>
          <w:sz w:val="20"/>
          <w:szCs w:val="20"/>
          <w:vertAlign w:val="superscript"/>
        </w:rPr>
        <w:t>2</w:t>
      </w:r>
    </w:p>
    <w:p w:rsidR="00B3444D" w:rsidRDefault="00B3444D" w:rsidP="00B3444D">
      <w:pPr>
        <w:spacing w:after="0" w:line="240" w:lineRule="auto"/>
        <w:jc w:val="center"/>
        <w:rPr>
          <w:rFonts w:ascii="Times New Roman" w:hAnsi="Times New Roman"/>
          <w:b/>
          <w:sz w:val="20"/>
          <w:szCs w:val="20"/>
        </w:rPr>
      </w:pPr>
    </w:p>
    <w:p w:rsidR="00F949E3" w:rsidRDefault="0073524C" w:rsidP="00B3444D">
      <w:pPr>
        <w:spacing w:after="0" w:line="240" w:lineRule="auto"/>
        <w:jc w:val="center"/>
        <w:rPr>
          <w:rFonts w:ascii="Times New Roman" w:hAnsi="Times New Roman"/>
          <w:sz w:val="20"/>
          <w:szCs w:val="20"/>
        </w:rPr>
      </w:pPr>
      <w:r>
        <w:rPr>
          <w:rFonts w:ascii="Times New Roman" w:hAnsi="Times New Roman"/>
          <w:sz w:val="20"/>
          <w:szCs w:val="20"/>
          <w:vertAlign w:val="superscript"/>
        </w:rPr>
        <w:t>1</w:t>
      </w:r>
      <w:r w:rsidR="00F17F38">
        <w:rPr>
          <w:rFonts w:ascii="Times New Roman" w:hAnsi="Times New Roman"/>
          <w:sz w:val="20"/>
          <w:szCs w:val="20"/>
        </w:rPr>
        <w:t>Institute for Micromanufacturing, Louisiana Tech University</w:t>
      </w:r>
    </w:p>
    <w:p w:rsidR="0073524C" w:rsidRDefault="0073524C" w:rsidP="00B3444D">
      <w:pPr>
        <w:spacing w:after="0" w:line="240" w:lineRule="auto"/>
        <w:jc w:val="center"/>
        <w:rPr>
          <w:rFonts w:ascii="Times New Roman" w:hAnsi="Times New Roman"/>
          <w:sz w:val="20"/>
          <w:szCs w:val="20"/>
        </w:rPr>
      </w:pPr>
      <w:r>
        <w:rPr>
          <w:rFonts w:ascii="Times New Roman" w:hAnsi="Times New Roman"/>
          <w:sz w:val="20"/>
          <w:szCs w:val="20"/>
          <w:vertAlign w:val="superscript"/>
        </w:rPr>
        <w:t>2</w:t>
      </w:r>
      <w:r w:rsidR="00F17F38">
        <w:rPr>
          <w:rFonts w:ascii="Times New Roman" w:hAnsi="Times New Roman"/>
          <w:sz w:val="20"/>
          <w:szCs w:val="20"/>
        </w:rPr>
        <w:t>Centre for Biomedical Engineering Rehabilitation Science</w:t>
      </w:r>
      <w:r w:rsidR="001C2EF8">
        <w:rPr>
          <w:rFonts w:ascii="Times New Roman" w:hAnsi="Times New Roman"/>
          <w:sz w:val="20"/>
          <w:szCs w:val="20"/>
        </w:rPr>
        <w:t xml:space="preserve">, Louisiana </w:t>
      </w:r>
      <w:r w:rsidR="00F17F38">
        <w:rPr>
          <w:rFonts w:ascii="Times New Roman" w:hAnsi="Times New Roman"/>
          <w:sz w:val="20"/>
          <w:szCs w:val="20"/>
        </w:rPr>
        <w:t>Tech</w:t>
      </w:r>
      <w:r w:rsidR="001C2EF8">
        <w:rPr>
          <w:rFonts w:ascii="Times New Roman" w:hAnsi="Times New Roman"/>
          <w:sz w:val="20"/>
          <w:szCs w:val="20"/>
        </w:rPr>
        <w:t xml:space="preserve"> University</w:t>
      </w:r>
    </w:p>
    <w:p w:rsidR="00B3444D" w:rsidRDefault="00B3444D" w:rsidP="00B3444D">
      <w:pPr>
        <w:spacing w:after="0" w:line="240" w:lineRule="auto"/>
        <w:jc w:val="center"/>
        <w:rPr>
          <w:rFonts w:ascii="Times New Roman" w:hAnsi="Times New Roman"/>
          <w:sz w:val="20"/>
          <w:szCs w:val="20"/>
        </w:rPr>
      </w:pPr>
    </w:p>
    <w:p w:rsidR="00F949E3" w:rsidRPr="001C109E" w:rsidRDefault="00F949E3" w:rsidP="00B3444D">
      <w:pPr>
        <w:spacing w:after="0" w:line="240" w:lineRule="auto"/>
        <w:ind w:left="720" w:right="720"/>
        <w:jc w:val="both"/>
        <w:rPr>
          <w:rFonts w:ascii="Times New Roman" w:hAnsi="Times New Roman"/>
          <w:sz w:val="20"/>
          <w:szCs w:val="20"/>
        </w:rPr>
      </w:pPr>
      <w:r>
        <w:rPr>
          <w:rFonts w:ascii="Times New Roman" w:hAnsi="Times New Roman"/>
          <w:b/>
          <w:sz w:val="20"/>
          <w:szCs w:val="20"/>
        </w:rPr>
        <w:t>Abstract</w:t>
      </w:r>
      <w:r w:rsidR="004A6B3C">
        <w:rPr>
          <w:rFonts w:ascii="Times New Roman" w:hAnsi="Times New Roman"/>
          <w:b/>
          <w:sz w:val="20"/>
          <w:szCs w:val="20"/>
        </w:rPr>
        <w:t>:</w:t>
      </w:r>
      <w:r w:rsidR="003A432D">
        <w:rPr>
          <w:rFonts w:ascii="Times New Roman" w:hAnsi="Times New Roman"/>
          <w:b/>
          <w:sz w:val="20"/>
          <w:szCs w:val="20"/>
        </w:rPr>
        <w:t xml:space="preserve"> </w:t>
      </w:r>
      <w:r w:rsidR="001C2EF8">
        <w:rPr>
          <w:rFonts w:ascii="Times New Roman" w:hAnsi="Times New Roman"/>
          <w:sz w:val="20"/>
          <w:szCs w:val="20"/>
        </w:rPr>
        <w:t xml:space="preserve">We report </w:t>
      </w:r>
      <w:r w:rsidR="00C555BB">
        <w:rPr>
          <w:rFonts w:ascii="Times New Roman" w:hAnsi="Times New Roman"/>
          <w:sz w:val="20"/>
          <w:szCs w:val="20"/>
        </w:rPr>
        <w:t>a simple inexpensive and flexible micromixer developed using a</w:t>
      </w:r>
      <w:r w:rsidR="00C35A8E">
        <w:rPr>
          <w:rFonts w:ascii="Times New Roman" w:hAnsi="Times New Roman"/>
          <w:sz w:val="20"/>
          <w:szCs w:val="20"/>
        </w:rPr>
        <w:t xml:space="preserve"> rapid fabrication process for i</w:t>
      </w:r>
      <w:r w:rsidR="00C555BB">
        <w:rPr>
          <w:rFonts w:ascii="Times New Roman" w:hAnsi="Times New Roman"/>
          <w:sz w:val="20"/>
          <w:szCs w:val="20"/>
        </w:rPr>
        <w:t>mmunosensor application.</w:t>
      </w:r>
      <w:r w:rsidR="00EC18D3">
        <w:rPr>
          <w:rFonts w:ascii="Times New Roman" w:hAnsi="Times New Roman"/>
          <w:sz w:val="20"/>
          <w:szCs w:val="20"/>
        </w:rPr>
        <w:t xml:space="preserve"> The micromixer was fabricated using polyester sheet and polyimide ta</w:t>
      </w:r>
      <w:r w:rsidR="00A84C3D">
        <w:rPr>
          <w:rFonts w:ascii="Times New Roman" w:hAnsi="Times New Roman"/>
          <w:sz w:val="20"/>
          <w:szCs w:val="20"/>
        </w:rPr>
        <w:t>p</w:t>
      </w:r>
      <w:r w:rsidR="00EC18D3">
        <w:rPr>
          <w:rFonts w:ascii="Times New Roman" w:hAnsi="Times New Roman"/>
          <w:sz w:val="20"/>
          <w:szCs w:val="20"/>
        </w:rPr>
        <w:t xml:space="preserve">e with silicone adhesive. Xurography rapid prototyping was used to fabricate the micromixer and </w:t>
      </w:r>
      <w:r w:rsidR="00A84C3D">
        <w:rPr>
          <w:rFonts w:ascii="Times New Roman" w:hAnsi="Times New Roman"/>
          <w:sz w:val="20"/>
          <w:szCs w:val="20"/>
        </w:rPr>
        <w:t xml:space="preserve">the </w:t>
      </w:r>
      <w:r w:rsidR="00EC18D3">
        <w:rPr>
          <w:rFonts w:ascii="Times New Roman" w:hAnsi="Times New Roman"/>
          <w:sz w:val="20"/>
          <w:szCs w:val="20"/>
        </w:rPr>
        <w:t>whole mixer can be fabricated in less than half an hour. Mixing efficiency was evaluated by injecting two food coloring dyes through the two inlets and collecting the sample at outlet. Mixing efficiency was quantitatively measured by a</w:t>
      </w:r>
      <w:r w:rsidR="00A84C3D">
        <w:rPr>
          <w:rFonts w:ascii="Times New Roman" w:hAnsi="Times New Roman"/>
          <w:sz w:val="20"/>
          <w:szCs w:val="20"/>
        </w:rPr>
        <w:t>nalyzing the RGB values of the i</w:t>
      </w:r>
      <w:r w:rsidR="00EC18D3">
        <w:rPr>
          <w:rFonts w:ascii="Times New Roman" w:hAnsi="Times New Roman"/>
          <w:sz w:val="20"/>
          <w:szCs w:val="20"/>
        </w:rPr>
        <w:t>mage collected from the microscope</w:t>
      </w:r>
      <w:r w:rsidR="00A84C3D">
        <w:rPr>
          <w:rFonts w:ascii="Times New Roman" w:hAnsi="Times New Roman"/>
          <w:sz w:val="20"/>
          <w:szCs w:val="20"/>
        </w:rPr>
        <w:t xml:space="preserve"> at inlet and outlet locations</w:t>
      </w:r>
      <w:r w:rsidR="00EC18D3">
        <w:rPr>
          <w:rFonts w:ascii="Times New Roman" w:hAnsi="Times New Roman"/>
          <w:sz w:val="20"/>
          <w:szCs w:val="20"/>
        </w:rPr>
        <w:t>.</w:t>
      </w:r>
      <w:r w:rsidR="003549CD">
        <w:rPr>
          <w:rFonts w:ascii="Times New Roman" w:hAnsi="Times New Roman"/>
          <w:sz w:val="20"/>
          <w:szCs w:val="20"/>
        </w:rPr>
        <w:t xml:space="preserve"> The mixing efficacy of the previously developed micromixers was also evaluated using image analysis method and the results indicate that the mixing efficiency of this polymer micromixer was 95% at Re</w:t>
      </w:r>
      <w:r w:rsidR="00A84C3D">
        <w:rPr>
          <w:rFonts w:ascii="Times New Roman" w:hAnsi="Times New Roman"/>
          <w:sz w:val="20"/>
          <w:szCs w:val="20"/>
        </w:rPr>
        <w:t>ynolds number (Re)</w:t>
      </w:r>
      <w:r w:rsidR="003549CD">
        <w:rPr>
          <w:rFonts w:ascii="Times New Roman" w:hAnsi="Times New Roman"/>
          <w:sz w:val="20"/>
          <w:szCs w:val="20"/>
        </w:rPr>
        <w:t xml:space="preserve"> =1 (higher than the previous generations). </w:t>
      </w:r>
    </w:p>
    <w:p w:rsidR="00F949E3" w:rsidRDefault="00F949E3" w:rsidP="00B3444D">
      <w:pPr>
        <w:spacing w:after="0" w:line="240" w:lineRule="auto"/>
        <w:ind w:left="720" w:right="720"/>
        <w:jc w:val="both"/>
        <w:rPr>
          <w:rFonts w:ascii="Times New Roman" w:hAnsi="Times New Roman"/>
          <w:sz w:val="20"/>
          <w:szCs w:val="20"/>
        </w:rPr>
      </w:pPr>
    </w:p>
    <w:p w:rsidR="00F949E3" w:rsidRPr="001C109E" w:rsidRDefault="00EA307D" w:rsidP="00B3444D">
      <w:pPr>
        <w:spacing w:after="0" w:line="240" w:lineRule="auto"/>
        <w:ind w:left="720" w:right="720"/>
        <w:jc w:val="both"/>
        <w:rPr>
          <w:rFonts w:ascii="Times New Roman" w:hAnsi="Times New Roman"/>
          <w:sz w:val="20"/>
          <w:szCs w:val="20"/>
        </w:rPr>
      </w:pPr>
      <w:r>
        <w:rPr>
          <w:rFonts w:ascii="Times New Roman" w:hAnsi="Times New Roman"/>
          <w:b/>
          <w:sz w:val="20"/>
          <w:szCs w:val="20"/>
        </w:rPr>
        <w:t>Keyw</w:t>
      </w:r>
      <w:r w:rsidR="00F949E3">
        <w:rPr>
          <w:rFonts w:ascii="Times New Roman" w:hAnsi="Times New Roman"/>
          <w:b/>
          <w:sz w:val="20"/>
          <w:szCs w:val="20"/>
        </w:rPr>
        <w:t>ords</w:t>
      </w:r>
      <w:r w:rsidR="004A6B3C">
        <w:rPr>
          <w:rFonts w:ascii="Times New Roman" w:hAnsi="Times New Roman"/>
          <w:b/>
          <w:sz w:val="20"/>
          <w:szCs w:val="20"/>
        </w:rPr>
        <w:t>:</w:t>
      </w:r>
      <w:r w:rsidR="00F949E3">
        <w:rPr>
          <w:rFonts w:ascii="Times New Roman" w:hAnsi="Times New Roman"/>
          <w:b/>
          <w:sz w:val="20"/>
          <w:szCs w:val="20"/>
        </w:rPr>
        <w:t xml:space="preserve"> </w:t>
      </w:r>
      <w:r w:rsidR="003549CD">
        <w:rPr>
          <w:rFonts w:ascii="Times New Roman" w:hAnsi="Times New Roman"/>
          <w:sz w:val="20"/>
          <w:szCs w:val="20"/>
        </w:rPr>
        <w:t>Flex</w:t>
      </w:r>
      <w:r w:rsidR="00BB64CD">
        <w:rPr>
          <w:rFonts w:ascii="Times New Roman" w:hAnsi="Times New Roman"/>
          <w:sz w:val="20"/>
          <w:szCs w:val="20"/>
        </w:rPr>
        <w:t>ible micromixer, immunosensor, x</w:t>
      </w:r>
      <w:r w:rsidR="003549CD">
        <w:rPr>
          <w:rFonts w:ascii="Times New Roman" w:hAnsi="Times New Roman"/>
          <w:sz w:val="20"/>
          <w:szCs w:val="20"/>
        </w:rPr>
        <w:t>urography, polyester, polyimide</w:t>
      </w:r>
      <w:r w:rsidR="001C2EF8">
        <w:rPr>
          <w:rFonts w:ascii="Times New Roman" w:hAnsi="Times New Roman"/>
          <w:sz w:val="20"/>
          <w:szCs w:val="20"/>
        </w:rPr>
        <w:t>.</w:t>
      </w:r>
    </w:p>
    <w:p w:rsidR="00F949E3" w:rsidRPr="001C109E" w:rsidRDefault="00F949E3" w:rsidP="00B3444D">
      <w:pPr>
        <w:spacing w:after="0" w:line="240" w:lineRule="auto"/>
        <w:ind w:left="720" w:right="720"/>
        <w:jc w:val="both"/>
        <w:rPr>
          <w:rFonts w:ascii="Times New Roman" w:hAnsi="Times New Roman"/>
          <w:sz w:val="20"/>
          <w:szCs w:val="20"/>
        </w:rPr>
      </w:pPr>
    </w:p>
    <w:p w:rsidR="00B3444D" w:rsidRPr="00F949E3" w:rsidRDefault="00B3444D" w:rsidP="00B3444D">
      <w:pPr>
        <w:spacing w:after="0" w:line="240" w:lineRule="auto"/>
        <w:ind w:left="720" w:right="720"/>
        <w:jc w:val="both"/>
        <w:rPr>
          <w:rFonts w:ascii="Times New Roman" w:hAnsi="Times New Roman"/>
          <w:sz w:val="20"/>
          <w:szCs w:val="20"/>
        </w:rPr>
      </w:pPr>
    </w:p>
    <w:p w:rsidR="00EA307D" w:rsidRDefault="00EA307D" w:rsidP="00EA307D">
      <w:pPr>
        <w:pStyle w:val="ListParagraph"/>
        <w:numPr>
          <w:ilvl w:val="0"/>
          <w:numId w:val="1"/>
        </w:numPr>
        <w:tabs>
          <w:tab w:val="left" w:pos="90"/>
        </w:tabs>
        <w:spacing w:after="0" w:line="240" w:lineRule="auto"/>
        <w:ind w:left="360"/>
        <w:jc w:val="both"/>
        <w:rPr>
          <w:rFonts w:ascii="Times New Roman" w:hAnsi="Times New Roman"/>
          <w:b/>
          <w:sz w:val="20"/>
          <w:szCs w:val="20"/>
        </w:rPr>
      </w:pPr>
      <w:r>
        <w:rPr>
          <w:rFonts w:ascii="Times New Roman" w:hAnsi="Times New Roman"/>
          <w:b/>
          <w:sz w:val="20"/>
          <w:szCs w:val="20"/>
        </w:rPr>
        <w:tab/>
      </w:r>
      <w:r w:rsidR="003A432D" w:rsidRPr="00EA307D">
        <w:rPr>
          <w:rFonts w:ascii="Times New Roman" w:hAnsi="Times New Roman"/>
          <w:b/>
          <w:sz w:val="20"/>
          <w:szCs w:val="20"/>
        </w:rPr>
        <w:t>Introduction</w:t>
      </w:r>
      <w:r w:rsidR="00F949E3" w:rsidRPr="00EA307D">
        <w:rPr>
          <w:rFonts w:ascii="Times New Roman" w:hAnsi="Times New Roman"/>
          <w:b/>
          <w:sz w:val="20"/>
          <w:szCs w:val="20"/>
        </w:rPr>
        <w:t xml:space="preserve"> </w:t>
      </w:r>
    </w:p>
    <w:p w:rsidR="00EA307D" w:rsidRDefault="00EA307D" w:rsidP="00B3444D">
      <w:pPr>
        <w:spacing w:after="0" w:line="240" w:lineRule="auto"/>
        <w:jc w:val="both"/>
        <w:rPr>
          <w:rFonts w:ascii="Times New Roman" w:hAnsi="Times New Roman"/>
          <w:b/>
          <w:sz w:val="20"/>
          <w:szCs w:val="20"/>
        </w:rPr>
      </w:pPr>
    </w:p>
    <w:p w:rsidR="00C5000D" w:rsidRDefault="00C5000D" w:rsidP="00B3444D">
      <w:pPr>
        <w:spacing w:after="0" w:line="240" w:lineRule="auto"/>
        <w:jc w:val="both"/>
        <w:rPr>
          <w:rFonts w:ascii="Times New Roman" w:hAnsi="Times New Roman"/>
          <w:sz w:val="20"/>
          <w:szCs w:val="20"/>
        </w:rPr>
      </w:pPr>
      <w:r>
        <w:rPr>
          <w:rFonts w:ascii="Times New Roman" w:hAnsi="Times New Roman"/>
          <w:sz w:val="20"/>
          <w:szCs w:val="20"/>
        </w:rPr>
        <w:t xml:space="preserve">Fluid handling at </w:t>
      </w:r>
      <w:r w:rsidR="00A84C3D">
        <w:rPr>
          <w:rFonts w:ascii="Times New Roman" w:hAnsi="Times New Roman"/>
          <w:sz w:val="20"/>
          <w:szCs w:val="20"/>
        </w:rPr>
        <w:t xml:space="preserve">the </w:t>
      </w:r>
      <w:r>
        <w:rPr>
          <w:rFonts w:ascii="Times New Roman" w:hAnsi="Times New Roman"/>
          <w:sz w:val="20"/>
          <w:szCs w:val="20"/>
        </w:rPr>
        <w:t>microscale greatly affected different fields including biomedical, pharmaceutical, biochemical engineering and environmental monitor</w:t>
      </w:r>
      <w:r w:rsidR="006D02DE">
        <w:rPr>
          <w:rFonts w:ascii="Times New Roman" w:hAnsi="Times New Roman"/>
          <w:sz w:val="20"/>
          <w:szCs w:val="20"/>
        </w:rPr>
        <w:t>ing</w:t>
      </w:r>
      <w:r w:rsidR="00A84C3D">
        <w:rPr>
          <w:rFonts w:ascii="Times New Roman" w:hAnsi="Times New Roman"/>
          <w:sz w:val="20"/>
          <w:szCs w:val="20"/>
        </w:rPr>
        <w:t>. This le</w:t>
      </w:r>
      <w:r>
        <w:rPr>
          <w:rFonts w:ascii="Times New Roman" w:hAnsi="Times New Roman"/>
          <w:sz w:val="20"/>
          <w:szCs w:val="20"/>
        </w:rPr>
        <w:t xml:space="preserve">d to the evolution of </w:t>
      </w:r>
      <w:r w:rsidR="00C35A8E">
        <w:rPr>
          <w:rFonts w:ascii="Times New Roman" w:hAnsi="Times New Roman"/>
          <w:sz w:val="20"/>
          <w:szCs w:val="20"/>
        </w:rPr>
        <w:t xml:space="preserve">a </w:t>
      </w:r>
      <w:r>
        <w:rPr>
          <w:rFonts w:ascii="Times New Roman" w:hAnsi="Times New Roman"/>
          <w:sz w:val="20"/>
          <w:szCs w:val="20"/>
        </w:rPr>
        <w:t>new concept called microfluidics. Over the past decade, microfluidic device development has been increased rapidly due to their reduced reagent consumption, portability, high throughput, lower hardware cost and shorter analysis time</w:t>
      </w:r>
      <w:r w:rsidR="00A84C3D">
        <w:rPr>
          <w:rFonts w:ascii="Times New Roman" w:hAnsi="Times New Roman"/>
          <w:sz w:val="20"/>
          <w:szCs w:val="20"/>
        </w:rPr>
        <w:t xml:space="preserve"> compared to large devices</w:t>
      </w:r>
      <w:r>
        <w:rPr>
          <w:rFonts w:ascii="Times New Roman" w:hAnsi="Times New Roman"/>
          <w:sz w:val="20"/>
          <w:szCs w:val="20"/>
        </w:rPr>
        <w:t>. Since then different microfluidic structures have been proposed by considering different factors such as operation principle, device performance, fabrication method, and materials used. The components of these microfluidic devices include micropump, micromixer, microactuator, and microvalve. Among which micromixer is the key component as the mixing time de</w:t>
      </w:r>
      <w:r w:rsidR="00A84C3D">
        <w:rPr>
          <w:rFonts w:ascii="Times New Roman" w:hAnsi="Times New Roman"/>
          <w:sz w:val="20"/>
          <w:szCs w:val="20"/>
        </w:rPr>
        <w:t xml:space="preserve">termines </w:t>
      </w:r>
      <w:r>
        <w:rPr>
          <w:rFonts w:ascii="Times New Roman" w:hAnsi="Times New Roman"/>
          <w:sz w:val="20"/>
          <w:szCs w:val="20"/>
        </w:rPr>
        <w:t>the analysis speed of the devices [1].</w:t>
      </w:r>
    </w:p>
    <w:p w:rsidR="00C5000D" w:rsidRDefault="00C5000D" w:rsidP="00B3444D">
      <w:pPr>
        <w:spacing w:after="0" w:line="240" w:lineRule="auto"/>
        <w:jc w:val="both"/>
        <w:rPr>
          <w:rFonts w:ascii="Times New Roman" w:hAnsi="Times New Roman"/>
          <w:sz w:val="20"/>
          <w:szCs w:val="20"/>
        </w:rPr>
      </w:pPr>
    </w:p>
    <w:p w:rsidR="00F949E3" w:rsidRDefault="00C5000D" w:rsidP="00B3444D">
      <w:pPr>
        <w:spacing w:after="0" w:line="240" w:lineRule="auto"/>
        <w:jc w:val="both"/>
        <w:rPr>
          <w:rFonts w:ascii="Times New Roman" w:hAnsi="Times New Roman"/>
          <w:sz w:val="20"/>
          <w:szCs w:val="20"/>
        </w:rPr>
      </w:pPr>
      <w:r>
        <w:rPr>
          <w:rFonts w:ascii="Times New Roman" w:hAnsi="Times New Roman"/>
          <w:sz w:val="20"/>
          <w:szCs w:val="20"/>
        </w:rPr>
        <w:t xml:space="preserve">Viscous forces dominate the molecular forces </w:t>
      </w:r>
      <w:r w:rsidR="00A84C3D">
        <w:rPr>
          <w:rFonts w:ascii="Times New Roman" w:hAnsi="Times New Roman"/>
          <w:sz w:val="20"/>
          <w:szCs w:val="20"/>
        </w:rPr>
        <w:t>when considering mixing at the microscale</w:t>
      </w:r>
      <w:r>
        <w:rPr>
          <w:rFonts w:ascii="Times New Roman" w:hAnsi="Times New Roman"/>
          <w:sz w:val="20"/>
          <w:szCs w:val="20"/>
        </w:rPr>
        <w:t>. So, it is difficult to generate turbulent flow at this low Reynolds number (Re) regime. Thus the effective mixing in microfluidic devices is challenging due to the laminar and stable fl</w:t>
      </w:r>
      <w:r w:rsidR="006D02DE">
        <w:rPr>
          <w:rFonts w:ascii="Times New Roman" w:hAnsi="Times New Roman"/>
          <w:sz w:val="20"/>
          <w:szCs w:val="20"/>
        </w:rPr>
        <w:t>ow of the fluids</w:t>
      </w:r>
      <w:r>
        <w:rPr>
          <w:rFonts w:ascii="Times New Roman" w:hAnsi="Times New Roman"/>
          <w:sz w:val="20"/>
          <w:szCs w:val="20"/>
        </w:rPr>
        <w:t xml:space="preserve">. Transverse flow in microscale can be created by employing active and passive micromixing principles. Active mixers </w:t>
      </w:r>
      <w:r w:rsidR="003303D2">
        <w:rPr>
          <w:rFonts w:ascii="Times New Roman" w:hAnsi="Times New Roman"/>
          <w:sz w:val="20"/>
          <w:szCs w:val="20"/>
        </w:rPr>
        <w:t>improve mixing</w:t>
      </w:r>
      <w:r>
        <w:rPr>
          <w:rFonts w:ascii="Times New Roman" w:hAnsi="Times New Roman"/>
          <w:sz w:val="20"/>
          <w:szCs w:val="20"/>
        </w:rPr>
        <w:t xml:space="preserve"> relying on the external applied disturbance. The complex fabrication process and components to create external disturbances made the integration of these mixers in microfluidic systems both challenging and expensive. On the other hand mixing in passive mixers does not require external energy </w:t>
      </w:r>
      <w:r w:rsidR="003303D2">
        <w:rPr>
          <w:rFonts w:ascii="Times New Roman" w:hAnsi="Times New Roman"/>
          <w:sz w:val="20"/>
          <w:szCs w:val="20"/>
        </w:rPr>
        <w:t>rather it completely relied on molecular d</w:t>
      </w:r>
      <w:r w:rsidR="00A000DF">
        <w:rPr>
          <w:rFonts w:ascii="Times New Roman" w:hAnsi="Times New Roman"/>
          <w:sz w:val="20"/>
          <w:szCs w:val="20"/>
        </w:rPr>
        <w:t>iffusion or chaotic advection [2</w:t>
      </w:r>
      <w:r w:rsidR="003303D2">
        <w:rPr>
          <w:rFonts w:ascii="Times New Roman" w:hAnsi="Times New Roman"/>
          <w:sz w:val="20"/>
          <w:szCs w:val="20"/>
        </w:rPr>
        <w:t xml:space="preserve">]. Various passive micromixers have been proposed recently employing either of these two </w:t>
      </w:r>
      <w:r w:rsidR="00D02A24">
        <w:rPr>
          <w:rFonts w:ascii="Times New Roman" w:hAnsi="Times New Roman"/>
          <w:sz w:val="20"/>
          <w:szCs w:val="20"/>
        </w:rPr>
        <w:t>phenomena [1]</w:t>
      </w:r>
      <w:r w:rsidR="003303D2">
        <w:rPr>
          <w:rFonts w:ascii="Times New Roman" w:hAnsi="Times New Roman"/>
          <w:sz w:val="20"/>
          <w:szCs w:val="20"/>
        </w:rPr>
        <w:t>. This paper reports a low cost, flexible polymer micromixer having mixing efficiency more than 90% across a wide range of Re (from 0.1-30) and also mixing efficiency is constant with various bending angles.</w:t>
      </w:r>
    </w:p>
    <w:p w:rsidR="003303D2" w:rsidRPr="003A432D" w:rsidRDefault="003303D2" w:rsidP="00B3444D">
      <w:pPr>
        <w:spacing w:after="0" w:line="240" w:lineRule="auto"/>
        <w:jc w:val="both"/>
        <w:rPr>
          <w:rFonts w:ascii="Times New Roman" w:hAnsi="Times New Roman"/>
          <w:sz w:val="20"/>
          <w:szCs w:val="20"/>
        </w:rPr>
      </w:pPr>
    </w:p>
    <w:p w:rsidR="00F949E3" w:rsidRPr="003A432D" w:rsidRDefault="00F949E3" w:rsidP="00B3444D">
      <w:pPr>
        <w:spacing w:after="0" w:line="240" w:lineRule="auto"/>
        <w:jc w:val="both"/>
        <w:rPr>
          <w:rFonts w:ascii="Times New Roman" w:hAnsi="Times New Roman"/>
          <w:sz w:val="20"/>
          <w:szCs w:val="20"/>
        </w:rPr>
      </w:pPr>
    </w:p>
    <w:p w:rsidR="00F949E3" w:rsidRPr="003A432D" w:rsidRDefault="00F949E3" w:rsidP="003A432D">
      <w:pPr>
        <w:spacing w:after="0" w:line="240" w:lineRule="auto"/>
        <w:jc w:val="both"/>
        <w:rPr>
          <w:rFonts w:ascii="Times New Roman" w:hAnsi="Times New Roman"/>
          <w:sz w:val="20"/>
          <w:szCs w:val="20"/>
        </w:rPr>
      </w:pPr>
    </w:p>
    <w:p w:rsidR="00EA307D" w:rsidRPr="00F56665" w:rsidRDefault="00917832" w:rsidP="003A432D">
      <w:pPr>
        <w:jc w:val="both"/>
        <w:rPr>
          <w:rFonts w:ascii="Times New Roman" w:hAnsi="Times New Roman"/>
          <w:b/>
          <w:sz w:val="20"/>
          <w:szCs w:val="20"/>
        </w:rPr>
      </w:pPr>
      <w:r w:rsidRPr="00F56665">
        <w:rPr>
          <w:rFonts w:ascii="Times New Roman" w:hAnsi="Times New Roman"/>
          <w:b/>
          <w:sz w:val="20"/>
          <w:szCs w:val="20"/>
        </w:rPr>
        <w:t>2.</w:t>
      </w:r>
      <w:r w:rsidR="00EA307D" w:rsidRPr="00F56665">
        <w:rPr>
          <w:rFonts w:ascii="Times New Roman" w:hAnsi="Times New Roman"/>
          <w:b/>
          <w:sz w:val="20"/>
          <w:szCs w:val="20"/>
        </w:rPr>
        <w:tab/>
      </w:r>
      <w:r w:rsidRPr="00F56665">
        <w:rPr>
          <w:rFonts w:ascii="Times New Roman" w:hAnsi="Times New Roman"/>
          <w:b/>
          <w:sz w:val="20"/>
          <w:szCs w:val="20"/>
        </w:rPr>
        <w:t>Experimental Procedures</w:t>
      </w:r>
    </w:p>
    <w:p w:rsidR="00EA307D" w:rsidRPr="00F56665" w:rsidRDefault="00D24822" w:rsidP="003A432D">
      <w:pPr>
        <w:jc w:val="both"/>
        <w:rPr>
          <w:rFonts w:ascii="Times New Roman" w:hAnsi="Times New Roman"/>
          <w:b/>
          <w:sz w:val="20"/>
          <w:szCs w:val="20"/>
        </w:rPr>
      </w:pPr>
      <w:r>
        <w:rPr>
          <w:rFonts w:ascii="Times New Roman" w:hAnsi="Times New Roman"/>
          <w:b/>
          <w:sz w:val="20"/>
          <w:szCs w:val="20"/>
        </w:rPr>
        <w:t>2.1</w:t>
      </w:r>
      <w:r>
        <w:rPr>
          <w:rFonts w:ascii="Times New Roman" w:hAnsi="Times New Roman"/>
          <w:b/>
          <w:sz w:val="20"/>
          <w:szCs w:val="20"/>
        </w:rPr>
        <w:tab/>
        <w:t xml:space="preserve">Fabrication </w:t>
      </w:r>
    </w:p>
    <w:p w:rsidR="00EA307D" w:rsidRPr="00917832" w:rsidRDefault="00293600" w:rsidP="003A432D">
      <w:pPr>
        <w:jc w:val="both"/>
        <w:rPr>
          <w:rFonts w:ascii="Times New Roman" w:hAnsi="Times New Roman"/>
          <w:sz w:val="20"/>
          <w:szCs w:val="20"/>
        </w:rPr>
      </w:pPr>
      <w:r>
        <w:rPr>
          <w:rFonts w:ascii="Times New Roman" w:hAnsi="Times New Roman"/>
          <w:sz w:val="20"/>
          <w:szCs w:val="20"/>
        </w:rPr>
        <w:t xml:space="preserve">The mask was designed using Adobe Illustrator CS3 vector graphics editor.  </w:t>
      </w:r>
      <w:r w:rsidR="00D24822">
        <w:rPr>
          <w:rFonts w:ascii="Times New Roman" w:hAnsi="Times New Roman"/>
          <w:sz w:val="20"/>
          <w:szCs w:val="20"/>
        </w:rPr>
        <w:t xml:space="preserve">A polyester sheet was </w:t>
      </w:r>
      <w:r>
        <w:rPr>
          <w:rFonts w:ascii="Times New Roman" w:hAnsi="Times New Roman"/>
          <w:sz w:val="20"/>
          <w:szCs w:val="20"/>
        </w:rPr>
        <w:t>sandwiched</w:t>
      </w:r>
      <w:r w:rsidR="00D24822">
        <w:rPr>
          <w:rFonts w:ascii="Times New Roman" w:hAnsi="Times New Roman"/>
          <w:sz w:val="20"/>
          <w:szCs w:val="20"/>
        </w:rPr>
        <w:t xml:space="preserve"> between </w:t>
      </w:r>
      <w:r>
        <w:rPr>
          <w:rFonts w:ascii="Times New Roman" w:hAnsi="Times New Roman"/>
          <w:sz w:val="20"/>
          <w:szCs w:val="20"/>
        </w:rPr>
        <w:t xml:space="preserve">two double sided polyester tapes. The cutting plotter was used to cut the sandwiched polymer sheet according to the specified mask design. The unwanted portion of the tape was peeled off using tweezers. Later this patterned polymer sheet was further sandwiched between two polyester sheets. </w:t>
      </w:r>
      <w:r w:rsidR="00567BD7">
        <w:rPr>
          <w:rFonts w:ascii="Times New Roman" w:hAnsi="Times New Roman"/>
          <w:sz w:val="20"/>
          <w:szCs w:val="20"/>
        </w:rPr>
        <w:t>The sandwiched sheet was heated on</w:t>
      </w:r>
      <w:r w:rsidR="00A84C3D">
        <w:rPr>
          <w:rFonts w:ascii="Times New Roman" w:hAnsi="Times New Roman"/>
          <w:sz w:val="20"/>
          <w:szCs w:val="20"/>
        </w:rPr>
        <w:t xml:space="preserve"> a</w:t>
      </w:r>
      <w:r w:rsidR="00567BD7">
        <w:rPr>
          <w:rFonts w:ascii="Times New Roman" w:hAnsi="Times New Roman"/>
          <w:sz w:val="20"/>
          <w:szCs w:val="20"/>
        </w:rPr>
        <w:t xml:space="preserve"> hotplate at 100ºC for 10 mi</w:t>
      </w:r>
      <w:r w:rsidR="0019695E">
        <w:rPr>
          <w:rFonts w:ascii="Times New Roman" w:hAnsi="Times New Roman"/>
          <w:sz w:val="20"/>
          <w:szCs w:val="20"/>
        </w:rPr>
        <w:t xml:space="preserve">n. to improve the bond strength. </w:t>
      </w:r>
      <w:r>
        <w:rPr>
          <w:rFonts w:ascii="Times New Roman" w:hAnsi="Times New Roman"/>
          <w:sz w:val="20"/>
          <w:szCs w:val="20"/>
        </w:rPr>
        <w:t>Inlet and outlet holes were made by diamond cutter and later PDMS ports were attached to the inlet and outlet holes for injecting and collecting fluids. Fig 1 depicts the solid works modes of the fabricated device. The channel depth is ~</w:t>
      </w:r>
      <w:r w:rsidRPr="00917832">
        <w:rPr>
          <w:rFonts w:ascii="Times New Roman" w:hAnsi="Times New Roman"/>
          <w:color w:val="000000"/>
          <w:sz w:val="20"/>
          <w:szCs w:val="20"/>
        </w:rPr>
        <w:t xml:space="preserve"> 350</w:t>
      </w:r>
      <w:r w:rsidR="00917832" w:rsidRPr="00917832">
        <w:rPr>
          <w:rFonts w:ascii="Times New Roman" w:hAnsi="Times New Roman"/>
          <w:color w:val="000000"/>
          <w:sz w:val="20"/>
          <w:szCs w:val="20"/>
        </w:rPr>
        <w:t xml:space="preserve"> μm.</w:t>
      </w:r>
    </w:p>
    <w:p w:rsidR="00917832" w:rsidRDefault="00917832" w:rsidP="003A432D">
      <w:pPr>
        <w:jc w:val="both"/>
        <w:rPr>
          <w:rFonts w:ascii="Times New Roman" w:hAnsi="Times New Roman"/>
          <w:sz w:val="20"/>
          <w:szCs w:val="20"/>
        </w:rPr>
      </w:pPr>
    </w:p>
    <w:p w:rsidR="00917832" w:rsidRDefault="005E1690" w:rsidP="00293600">
      <w:pPr>
        <w:jc w:val="center"/>
        <w:rPr>
          <w:rFonts w:ascii="Times New Roman" w:hAnsi="Times New Roman"/>
          <w:sz w:val="20"/>
          <w:szCs w:val="20"/>
        </w:rPr>
      </w:pPr>
      <w:r>
        <w:rPr>
          <w:rFonts w:ascii="Times New Roman" w:hAnsi="Times New Roman"/>
          <w:noProof/>
          <w:color w:val="FF0000"/>
          <w:sz w:val="20"/>
          <w:szCs w:val="20"/>
        </w:rPr>
        <mc:AlternateContent>
          <mc:Choice Requires="wps">
            <w:drawing>
              <wp:anchor distT="0" distB="0" distL="114300" distR="114300" simplePos="0" relativeHeight="251658752" behindDoc="0" locked="0" layoutInCell="1" allowOverlap="1">
                <wp:simplePos x="0" y="0"/>
                <wp:positionH relativeFrom="column">
                  <wp:posOffset>2846070</wp:posOffset>
                </wp:positionH>
                <wp:positionV relativeFrom="paragraph">
                  <wp:posOffset>168275</wp:posOffset>
                </wp:positionV>
                <wp:extent cx="723900" cy="369570"/>
                <wp:effectExtent l="0" t="0" r="1905"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600" w:rsidRPr="00802719" w:rsidRDefault="00293600" w:rsidP="00293600">
                            <w:pPr>
                              <w:rPr>
                                <w:rFonts w:ascii="Times New Roman" w:hAnsi="Times New Roman"/>
                                <w:sz w:val="18"/>
                                <w:szCs w:val="18"/>
                              </w:rPr>
                            </w:pPr>
                            <w:r w:rsidRPr="00802719">
                              <w:rPr>
                                <w:rFonts w:ascii="Times New Roman" w:hAnsi="Times New Roman"/>
                                <w:sz w:val="18"/>
                                <w:szCs w:val="18"/>
                              </w:rPr>
                              <w:t>Outlet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224.1pt;margin-top:13.25pt;width:57pt;height:29.1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1xtAIAALg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" filled="f" stroked="f">
                <v:textbox style="mso-fit-shape-to-text:t">
                  <w:txbxContent>
                    <w:p w:rsidR="00293600" w:rsidRPr="00802719" w:rsidRDefault="00293600" w:rsidP="00293600">
                      <w:pPr>
                        <w:rPr>
                          <w:rFonts w:ascii="Times New Roman" w:hAnsi="Times New Roman"/>
                          <w:sz w:val="18"/>
                          <w:szCs w:val="18"/>
                        </w:rPr>
                      </w:pPr>
                      <w:r w:rsidRPr="00802719">
                        <w:rPr>
                          <w:rFonts w:ascii="Times New Roman" w:hAnsi="Times New Roman"/>
                          <w:sz w:val="18"/>
                          <w:szCs w:val="18"/>
                        </w:rPr>
                        <w:t>Outlet</w:t>
                      </w:r>
                    </w:p>
                  </w:txbxContent>
                </v:textbox>
              </v:shape>
            </w:pict>
          </mc:Fallback>
        </mc:AlternateContent>
      </w:r>
      <w:r>
        <w:rPr>
          <w:rFonts w:ascii="Times New Roman" w:hAnsi="Times New Roman"/>
          <w:noProof/>
          <w:color w:val="FF0000"/>
          <w:sz w:val="20"/>
          <w:szCs w:val="20"/>
        </w:rPr>
        <mc:AlternateContent>
          <mc:Choice Requires="wps">
            <w:drawing>
              <wp:anchor distT="0" distB="0" distL="114300" distR="114300" simplePos="0" relativeHeight="251656704" behindDoc="0" locked="0" layoutInCell="1" allowOverlap="1">
                <wp:simplePos x="0" y="0"/>
                <wp:positionH relativeFrom="column">
                  <wp:posOffset>2300605</wp:posOffset>
                </wp:positionH>
                <wp:positionV relativeFrom="paragraph">
                  <wp:posOffset>873125</wp:posOffset>
                </wp:positionV>
                <wp:extent cx="723900" cy="369570"/>
                <wp:effectExtent l="0" t="0" r="4445"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600" w:rsidRPr="00251095" w:rsidRDefault="00293600">
                            <w:pPr>
                              <w:rPr>
                                <w:rFonts w:ascii="Times New Roman" w:hAnsi="Times New Roman"/>
                                <w:sz w:val="18"/>
                                <w:szCs w:val="18"/>
                              </w:rPr>
                            </w:pPr>
                            <w:r w:rsidRPr="00251095">
                              <w:rPr>
                                <w:rFonts w:ascii="Times New Roman" w:hAnsi="Times New Roman"/>
                                <w:sz w:val="18"/>
                                <w:szCs w:val="18"/>
                              </w:rPr>
                              <w:t>Inlet 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 o:spid="_x0000_s1027" type="#_x0000_t202" style="position:absolute;left:0;text-align:left;margin-left:181.15pt;margin-top:68.75pt;width:57pt;height:29.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g1yu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" filled="f" stroked="f">
                <v:textbox style="mso-fit-shape-to-text:t">
                  <w:txbxContent>
                    <w:p w:rsidR="00293600" w:rsidRPr="00251095" w:rsidRDefault="00293600">
                      <w:pPr>
                        <w:rPr>
                          <w:rFonts w:ascii="Times New Roman" w:hAnsi="Times New Roman"/>
                          <w:sz w:val="18"/>
                          <w:szCs w:val="18"/>
                        </w:rPr>
                      </w:pPr>
                      <w:r w:rsidRPr="00251095">
                        <w:rPr>
                          <w:rFonts w:ascii="Times New Roman" w:hAnsi="Times New Roman"/>
                          <w:sz w:val="18"/>
                          <w:szCs w:val="18"/>
                        </w:rPr>
                        <w:t>Inlet 1</w:t>
                      </w:r>
                    </w:p>
                  </w:txbxContent>
                </v:textbox>
              </v:shape>
            </w:pict>
          </mc:Fallback>
        </mc:AlternateContent>
      </w:r>
      <w:r>
        <w:rPr>
          <w:rFonts w:ascii="Times New Roman" w:hAnsi="Times New Roman"/>
          <w:noProof/>
          <w:color w:val="FF0000"/>
          <w:sz w:val="20"/>
          <w:szCs w:val="20"/>
        </w:rPr>
        <mc:AlternateContent>
          <mc:Choice Requires="wps">
            <w:drawing>
              <wp:anchor distT="0" distB="0" distL="114300" distR="114300" simplePos="0" relativeHeight="251657728" behindDoc="0" locked="0" layoutInCell="1" allowOverlap="1">
                <wp:simplePos x="0" y="0"/>
                <wp:positionH relativeFrom="column">
                  <wp:posOffset>3084830</wp:posOffset>
                </wp:positionH>
                <wp:positionV relativeFrom="paragraph">
                  <wp:posOffset>673100</wp:posOffset>
                </wp:positionV>
                <wp:extent cx="723900" cy="369570"/>
                <wp:effectExtent l="0" t="0" r="127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3600" w:rsidRPr="00802719" w:rsidRDefault="00293600" w:rsidP="00293600">
                            <w:pPr>
                              <w:rPr>
                                <w:rFonts w:ascii="Times New Roman" w:hAnsi="Times New Roman"/>
                                <w:sz w:val="18"/>
                                <w:szCs w:val="18"/>
                              </w:rPr>
                            </w:pPr>
                            <w:r w:rsidRPr="00802719">
                              <w:rPr>
                                <w:rFonts w:ascii="Times New Roman" w:hAnsi="Times New Roman"/>
                                <w:sz w:val="18"/>
                                <w:szCs w:val="18"/>
                              </w:rPr>
                              <w:t>Inlet 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8" type="#_x0000_t202" style="position:absolute;left:0;text-align:left;margin-left:242.9pt;margin-top:53pt;width:57pt;height:29.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" filled="f" stroked="f">
                <v:textbox style="mso-fit-shape-to-text:t">
                  <w:txbxContent>
                    <w:p w:rsidR="00293600" w:rsidRPr="00802719" w:rsidRDefault="00293600" w:rsidP="00293600">
                      <w:pPr>
                        <w:rPr>
                          <w:rFonts w:ascii="Times New Roman" w:hAnsi="Times New Roman"/>
                          <w:sz w:val="18"/>
                          <w:szCs w:val="18"/>
                        </w:rPr>
                      </w:pPr>
                      <w:r w:rsidRPr="00802719">
                        <w:rPr>
                          <w:rFonts w:ascii="Times New Roman" w:hAnsi="Times New Roman"/>
                          <w:sz w:val="18"/>
                          <w:szCs w:val="18"/>
                        </w:rPr>
                        <w:t>Inlet 2</w:t>
                      </w:r>
                    </w:p>
                  </w:txbxContent>
                </v:textbox>
              </v:shape>
            </w:pict>
          </mc:Fallback>
        </mc:AlternateContent>
      </w:r>
      <w:r w:rsidR="001D0D3D">
        <w:rPr>
          <w:rFonts w:ascii="Times New Roman" w:hAnsi="Times New Roman"/>
          <w:noProof/>
          <w:sz w:val="20"/>
          <w:szCs w:val="20"/>
        </w:rPr>
        <w:drawing>
          <wp:inline distT="0" distB="0" distL="0" distR="0">
            <wp:extent cx="2133600" cy="1724025"/>
            <wp:effectExtent l="19050" t="0" r="0" b="0"/>
            <wp:docPr id="1" name="Picture 1" descr="E:\Plastic Micromixers\Figures\nice-whole mixer with ports - isometric vie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lastic Micromixers\Figures\nice-whole mixer with ports - isometric view.bmp"/>
                    <pic:cNvPicPr>
                      <a:picLocks noChangeAspect="1" noChangeArrowheads="1"/>
                    </pic:cNvPicPr>
                  </pic:nvPicPr>
                  <pic:blipFill>
                    <a:blip r:embed="rId8" cstate="print"/>
                    <a:srcRect/>
                    <a:stretch>
                      <a:fillRect/>
                    </a:stretch>
                  </pic:blipFill>
                  <pic:spPr bwMode="auto">
                    <a:xfrm>
                      <a:off x="0" y="0"/>
                      <a:ext cx="2133600" cy="1724025"/>
                    </a:xfrm>
                    <a:prstGeom prst="rect">
                      <a:avLst/>
                    </a:prstGeom>
                    <a:noFill/>
                    <a:ln w="9525">
                      <a:noFill/>
                      <a:miter lim="800000"/>
                      <a:headEnd/>
                      <a:tailEnd/>
                    </a:ln>
                  </pic:spPr>
                </pic:pic>
              </a:graphicData>
            </a:graphic>
          </wp:inline>
        </w:drawing>
      </w:r>
    </w:p>
    <w:p w:rsidR="00F260E9" w:rsidRDefault="00F260E9" w:rsidP="003A432D">
      <w:pPr>
        <w:jc w:val="both"/>
        <w:rPr>
          <w:rFonts w:ascii="Times New Roman" w:hAnsi="Times New Roman"/>
          <w:sz w:val="20"/>
          <w:szCs w:val="20"/>
        </w:rPr>
      </w:pPr>
    </w:p>
    <w:p w:rsidR="00917832" w:rsidRDefault="00860D8B" w:rsidP="00F260E9">
      <w:pPr>
        <w:jc w:val="center"/>
        <w:rPr>
          <w:rFonts w:ascii="Times New Roman" w:hAnsi="Times New Roman"/>
          <w:sz w:val="18"/>
          <w:szCs w:val="18"/>
        </w:rPr>
      </w:pPr>
      <w:r>
        <w:rPr>
          <w:rFonts w:ascii="Times New Roman" w:hAnsi="Times New Roman"/>
          <w:sz w:val="18"/>
          <w:szCs w:val="18"/>
        </w:rPr>
        <w:t xml:space="preserve">Fig. </w:t>
      </w:r>
      <w:r w:rsidR="00F260E9" w:rsidRPr="00F260E9">
        <w:rPr>
          <w:rFonts w:ascii="Times New Roman" w:hAnsi="Times New Roman"/>
          <w:sz w:val="18"/>
          <w:szCs w:val="18"/>
        </w:rPr>
        <w:t>1 S</w:t>
      </w:r>
      <w:r w:rsidR="00293600">
        <w:rPr>
          <w:rFonts w:ascii="Times New Roman" w:hAnsi="Times New Roman"/>
          <w:sz w:val="18"/>
          <w:szCs w:val="18"/>
        </w:rPr>
        <w:t>olid works model of the fabricated micromixer (Top view).</w:t>
      </w:r>
    </w:p>
    <w:p w:rsidR="00F260E9" w:rsidRPr="00F56665" w:rsidRDefault="00F260E9" w:rsidP="003A432D">
      <w:pPr>
        <w:jc w:val="both"/>
        <w:rPr>
          <w:rFonts w:ascii="Times New Roman" w:hAnsi="Times New Roman"/>
          <w:b/>
          <w:sz w:val="20"/>
          <w:szCs w:val="20"/>
        </w:rPr>
      </w:pPr>
      <w:r w:rsidRPr="00F56665">
        <w:rPr>
          <w:rFonts w:ascii="Times New Roman" w:hAnsi="Times New Roman"/>
          <w:b/>
          <w:sz w:val="20"/>
          <w:szCs w:val="20"/>
        </w:rPr>
        <w:t>2.2</w:t>
      </w:r>
      <w:r w:rsidRPr="00F56665">
        <w:rPr>
          <w:rFonts w:ascii="Times New Roman" w:hAnsi="Times New Roman"/>
          <w:b/>
          <w:sz w:val="20"/>
          <w:szCs w:val="20"/>
        </w:rPr>
        <w:tab/>
      </w:r>
      <w:r w:rsidR="00D81CD4">
        <w:rPr>
          <w:rFonts w:ascii="Times New Roman" w:hAnsi="Times New Roman"/>
          <w:b/>
          <w:sz w:val="20"/>
          <w:szCs w:val="20"/>
        </w:rPr>
        <w:t>Quantification of Mixing Efficiency</w:t>
      </w:r>
    </w:p>
    <w:p w:rsidR="001F2B27" w:rsidRDefault="00D81CD4" w:rsidP="00A84C3D">
      <w:pPr>
        <w:jc w:val="both"/>
        <w:rPr>
          <w:rFonts w:ascii="Times New Roman" w:hAnsi="Times New Roman"/>
          <w:sz w:val="20"/>
          <w:szCs w:val="20"/>
        </w:rPr>
      </w:pPr>
      <w:r>
        <w:rPr>
          <w:rFonts w:ascii="Times New Roman" w:hAnsi="Times New Roman"/>
          <w:sz w:val="20"/>
          <w:szCs w:val="20"/>
        </w:rPr>
        <w:t>Two food coloring dyes (</w:t>
      </w:r>
      <w:r w:rsidR="0019695E">
        <w:rPr>
          <w:rFonts w:ascii="Times New Roman" w:hAnsi="Times New Roman"/>
          <w:sz w:val="20"/>
          <w:szCs w:val="20"/>
        </w:rPr>
        <w:t>red and blue) were injected through the two inlets to monitor the mixing efficiency. The quantitative measure of the mixing was done</w:t>
      </w:r>
      <w:r w:rsidR="00A84C3D">
        <w:rPr>
          <w:rFonts w:ascii="Times New Roman" w:hAnsi="Times New Roman"/>
          <w:sz w:val="20"/>
          <w:szCs w:val="20"/>
        </w:rPr>
        <w:t>.</w:t>
      </w:r>
      <w:r w:rsidR="001F2B27">
        <w:rPr>
          <w:rFonts w:ascii="Times New Roman" w:hAnsi="Times New Roman"/>
          <w:sz w:val="20"/>
          <w:szCs w:val="20"/>
        </w:rPr>
        <w:t>Image Pro Analysis software was used to quantify the mixing efficacy using the images obtained from the microscope. To measure mixing index, standard deviations of primary colors</w:t>
      </w:r>
      <w:r w:rsidR="00A84C3D">
        <w:rPr>
          <w:rFonts w:ascii="Times New Roman" w:hAnsi="Times New Roman"/>
          <w:sz w:val="20"/>
          <w:szCs w:val="20"/>
        </w:rPr>
        <w:t xml:space="preserve"> (red, green, and blue)</w:t>
      </w:r>
      <w:r w:rsidR="001F2B27">
        <w:rPr>
          <w:rFonts w:ascii="Times New Roman" w:hAnsi="Times New Roman"/>
          <w:sz w:val="20"/>
          <w:szCs w:val="20"/>
        </w:rPr>
        <w:t xml:space="preserve"> were measured at inlet and outlet sections of the mixer. Later, the standard deviations of these red, </w:t>
      </w:r>
      <w:r w:rsidR="00A84C3D">
        <w:rPr>
          <w:rFonts w:ascii="Times New Roman" w:hAnsi="Times New Roman"/>
          <w:sz w:val="20"/>
          <w:szCs w:val="20"/>
        </w:rPr>
        <w:t xml:space="preserve">green, and </w:t>
      </w:r>
      <w:r w:rsidR="001F2B27">
        <w:rPr>
          <w:rFonts w:ascii="Times New Roman" w:hAnsi="Times New Roman"/>
          <w:sz w:val="20"/>
          <w:szCs w:val="20"/>
        </w:rPr>
        <w:t>blue</w:t>
      </w:r>
      <w:r w:rsidR="00A84C3D">
        <w:rPr>
          <w:rFonts w:ascii="Times New Roman" w:hAnsi="Times New Roman"/>
          <w:sz w:val="20"/>
          <w:szCs w:val="20"/>
        </w:rPr>
        <w:t xml:space="preserve"> pixel values</w:t>
      </w:r>
      <w:r w:rsidR="001F2B27">
        <w:rPr>
          <w:rFonts w:ascii="Times New Roman" w:hAnsi="Times New Roman"/>
          <w:sz w:val="20"/>
          <w:szCs w:val="20"/>
        </w:rPr>
        <w:t xml:space="preserve"> were averaged at </w:t>
      </w:r>
      <w:r w:rsidR="00A84C3D">
        <w:rPr>
          <w:rFonts w:ascii="Times New Roman" w:hAnsi="Times New Roman"/>
          <w:sz w:val="20"/>
          <w:szCs w:val="20"/>
        </w:rPr>
        <w:t xml:space="preserve">the </w:t>
      </w:r>
      <w:r w:rsidR="001F2B27">
        <w:rPr>
          <w:rFonts w:ascii="Times New Roman" w:hAnsi="Times New Roman"/>
          <w:sz w:val="20"/>
          <w:szCs w:val="20"/>
        </w:rPr>
        <w:t xml:space="preserve">inlet and outlet section respectively. The </w:t>
      </w:r>
      <w:r w:rsidR="001F2B27">
        <w:rPr>
          <w:rFonts w:ascii="Times New Roman" w:hAnsi="Times New Roman"/>
          <w:sz w:val="20"/>
          <w:szCs w:val="20"/>
        </w:rPr>
        <w:lastRenderedPageBreak/>
        <w:t>averaged standard deviation is the measure of color gradient at each section. Then, mixing index was calculated using the following equation.</w:t>
      </w:r>
    </w:p>
    <w:p w:rsidR="001F2B27" w:rsidRDefault="00C620DE" w:rsidP="001F2B27">
      <w:pPr>
        <w:spacing w:line="240" w:lineRule="auto"/>
        <w:jc w:val="center"/>
        <w:rPr>
          <w:rFonts w:ascii="Times New Roman" w:hAnsi="Times New Roman"/>
          <w:sz w:val="20"/>
          <w:szCs w:val="20"/>
        </w:rPr>
      </w:pPr>
      <w:r w:rsidRPr="004B3904">
        <w:rPr>
          <w:rFonts w:ascii="Times New Roman" w:hAnsi="Times New Roman"/>
          <w:position w:val="-32"/>
          <w:sz w:val="18"/>
          <w:szCs w:val="18"/>
        </w:rPr>
        <w:object w:dxaOrig="37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pt;height:38.25pt" o:ole="">
            <v:imagedata r:id="rId9" o:title=""/>
          </v:shape>
          <o:OLEObject Type="Embed" ProgID="Equation.3" ShapeID="_x0000_i1025" DrawAspect="Content" ObjectID="_1362816072" r:id="rId10"/>
        </w:object>
      </w:r>
    </w:p>
    <w:p w:rsidR="00F260E9" w:rsidRDefault="00C620DE" w:rsidP="00C620DE">
      <w:pPr>
        <w:spacing w:line="240" w:lineRule="auto"/>
        <w:jc w:val="both"/>
        <w:rPr>
          <w:rFonts w:ascii="Times New Roman" w:hAnsi="Times New Roman"/>
          <w:sz w:val="20"/>
          <w:szCs w:val="20"/>
        </w:rPr>
      </w:pPr>
      <w:r>
        <w:rPr>
          <w:rFonts w:ascii="Times New Roman" w:hAnsi="Times New Roman"/>
          <w:sz w:val="20"/>
          <w:szCs w:val="20"/>
        </w:rPr>
        <w:t>Where σ</w:t>
      </w:r>
      <w:r>
        <w:rPr>
          <w:rFonts w:ascii="Times New Roman" w:hAnsi="Times New Roman"/>
          <w:sz w:val="20"/>
          <w:szCs w:val="20"/>
          <w:vertAlign w:val="subscript"/>
        </w:rPr>
        <w:t>inlet</w:t>
      </w:r>
      <w:r>
        <w:rPr>
          <w:rFonts w:ascii="Times New Roman" w:hAnsi="Times New Roman"/>
          <w:sz w:val="20"/>
          <w:szCs w:val="20"/>
        </w:rPr>
        <w:t xml:space="preserve"> is the averaged standard deviation at inlet section and σ</w:t>
      </w:r>
      <w:r>
        <w:rPr>
          <w:rFonts w:ascii="Times New Roman" w:hAnsi="Times New Roman"/>
          <w:sz w:val="20"/>
          <w:szCs w:val="20"/>
          <w:vertAlign w:val="subscript"/>
        </w:rPr>
        <w:t>outlet</w:t>
      </w:r>
      <w:r>
        <w:rPr>
          <w:rFonts w:ascii="Times New Roman" w:hAnsi="Times New Roman"/>
          <w:sz w:val="20"/>
          <w:szCs w:val="20"/>
        </w:rPr>
        <w:t xml:space="preserve"> is the averaged standard deviation at </w:t>
      </w:r>
      <w:r w:rsidR="001D0D3D">
        <w:rPr>
          <w:rFonts w:ascii="Times New Roman" w:hAnsi="Times New Roman"/>
          <w:sz w:val="20"/>
          <w:szCs w:val="20"/>
        </w:rPr>
        <w:t xml:space="preserve">the </w:t>
      </w:r>
      <w:r>
        <w:rPr>
          <w:rFonts w:ascii="Times New Roman" w:hAnsi="Times New Roman"/>
          <w:sz w:val="20"/>
          <w:szCs w:val="20"/>
        </w:rPr>
        <w:t>outlet section</w:t>
      </w:r>
      <w:r w:rsidR="00F260E9">
        <w:rPr>
          <w:rFonts w:ascii="Times New Roman" w:hAnsi="Times New Roman"/>
          <w:sz w:val="20"/>
          <w:szCs w:val="20"/>
        </w:rPr>
        <w:t>.</w:t>
      </w:r>
    </w:p>
    <w:p w:rsidR="003A432D" w:rsidRPr="00F56665" w:rsidRDefault="00F260E9" w:rsidP="003A432D">
      <w:pPr>
        <w:jc w:val="both"/>
        <w:rPr>
          <w:rFonts w:ascii="Times New Roman" w:hAnsi="Times New Roman"/>
          <w:b/>
          <w:sz w:val="20"/>
          <w:szCs w:val="20"/>
        </w:rPr>
      </w:pPr>
      <w:r w:rsidRPr="00F56665">
        <w:rPr>
          <w:rFonts w:ascii="Times New Roman" w:hAnsi="Times New Roman"/>
          <w:b/>
          <w:sz w:val="20"/>
          <w:szCs w:val="20"/>
        </w:rPr>
        <w:t>3.</w:t>
      </w:r>
      <w:r w:rsidR="00EA307D" w:rsidRPr="00F56665">
        <w:rPr>
          <w:rFonts w:ascii="Times New Roman" w:hAnsi="Times New Roman"/>
          <w:b/>
          <w:sz w:val="20"/>
          <w:szCs w:val="20"/>
        </w:rPr>
        <w:tab/>
      </w:r>
      <w:r w:rsidRPr="00F56665">
        <w:rPr>
          <w:rFonts w:ascii="Times New Roman" w:hAnsi="Times New Roman"/>
          <w:b/>
          <w:sz w:val="20"/>
          <w:szCs w:val="20"/>
        </w:rPr>
        <w:t>Results and Discussion</w:t>
      </w:r>
    </w:p>
    <w:p w:rsidR="00A92E54" w:rsidRDefault="002524F0" w:rsidP="003A432D">
      <w:pPr>
        <w:jc w:val="both"/>
        <w:rPr>
          <w:rFonts w:ascii="Times New Roman" w:hAnsi="Times New Roman"/>
          <w:sz w:val="20"/>
          <w:szCs w:val="20"/>
        </w:rPr>
      </w:pPr>
      <w:r>
        <w:rPr>
          <w:rFonts w:ascii="Times New Roman" w:hAnsi="Times New Roman"/>
          <w:sz w:val="20"/>
          <w:szCs w:val="20"/>
        </w:rPr>
        <w:t xml:space="preserve">The mixing efficiency of the previously fabricated three generations </w:t>
      </w:r>
      <w:r w:rsidR="00A92E54">
        <w:rPr>
          <w:rFonts w:ascii="Times New Roman" w:hAnsi="Times New Roman"/>
          <w:sz w:val="20"/>
          <w:szCs w:val="20"/>
        </w:rPr>
        <w:t>was</w:t>
      </w:r>
      <w:r>
        <w:rPr>
          <w:rFonts w:ascii="Times New Roman" w:hAnsi="Times New Roman"/>
          <w:sz w:val="20"/>
          <w:szCs w:val="20"/>
        </w:rPr>
        <w:t xml:space="preserve"> measured using </w:t>
      </w:r>
      <w:r w:rsidR="00A92E54">
        <w:rPr>
          <w:rFonts w:ascii="Times New Roman" w:hAnsi="Times New Roman"/>
          <w:sz w:val="20"/>
          <w:szCs w:val="20"/>
        </w:rPr>
        <w:t>image analysis method and the results were compared with the newly developed polymer micromixer. Table 1 depicts the mixing efficiencies of the micromixers.</w:t>
      </w:r>
    </w:p>
    <w:p w:rsidR="00A92E54" w:rsidRPr="00A92E54" w:rsidRDefault="00A92E54" w:rsidP="00A92E54">
      <w:pPr>
        <w:jc w:val="center"/>
        <w:rPr>
          <w:rFonts w:ascii="Times New Roman" w:hAnsi="Times New Roman"/>
          <w:sz w:val="18"/>
          <w:szCs w:val="18"/>
        </w:rPr>
      </w:pPr>
      <w:r w:rsidRPr="00A92E54">
        <w:rPr>
          <w:rFonts w:ascii="Times New Roman" w:hAnsi="Times New Roman"/>
          <w:sz w:val="18"/>
          <w:szCs w:val="18"/>
        </w:rPr>
        <w:t xml:space="preserve">Table 1. Mixing Indexes </w:t>
      </w:r>
      <w:r w:rsidR="004B3904" w:rsidRPr="00A92E54">
        <w:rPr>
          <w:rFonts w:ascii="Times New Roman" w:hAnsi="Times New Roman"/>
          <w:sz w:val="18"/>
          <w:szCs w:val="18"/>
        </w:rPr>
        <w:t>of the</w:t>
      </w:r>
      <w:r w:rsidRPr="00A92E54">
        <w:rPr>
          <w:rFonts w:ascii="Times New Roman" w:hAnsi="Times New Roman"/>
          <w:sz w:val="18"/>
          <w:szCs w:val="18"/>
        </w:rPr>
        <w:t xml:space="preserve"> developed micromixers.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8"/>
        <w:gridCol w:w="2790"/>
        <w:gridCol w:w="2070"/>
      </w:tblGrid>
      <w:tr w:rsidR="004B3904" w:rsidRPr="00A92E54" w:rsidTr="00A92E54">
        <w:trPr>
          <w:jc w:val="center"/>
        </w:trPr>
        <w:tc>
          <w:tcPr>
            <w:tcW w:w="738" w:type="dxa"/>
          </w:tcPr>
          <w:p w:rsidR="00A92E54" w:rsidRPr="00A92E54" w:rsidRDefault="00A92E54" w:rsidP="00A92E54">
            <w:pPr>
              <w:jc w:val="center"/>
              <w:rPr>
                <w:rFonts w:ascii="Times New Roman" w:hAnsi="Times New Roman"/>
                <w:b/>
                <w:sz w:val="20"/>
                <w:szCs w:val="20"/>
              </w:rPr>
            </w:pPr>
            <w:r w:rsidRPr="00A92E54">
              <w:rPr>
                <w:rFonts w:ascii="Times New Roman" w:hAnsi="Times New Roman"/>
                <w:b/>
                <w:sz w:val="20"/>
                <w:szCs w:val="20"/>
              </w:rPr>
              <w:t>S. No.</w:t>
            </w:r>
          </w:p>
        </w:tc>
        <w:tc>
          <w:tcPr>
            <w:tcW w:w="2790" w:type="dxa"/>
          </w:tcPr>
          <w:p w:rsidR="00A92E54" w:rsidRPr="00A92E54" w:rsidRDefault="00A92E54" w:rsidP="00A92E54">
            <w:pPr>
              <w:jc w:val="center"/>
              <w:rPr>
                <w:rFonts w:ascii="Times New Roman" w:hAnsi="Times New Roman"/>
                <w:b/>
                <w:sz w:val="20"/>
                <w:szCs w:val="20"/>
              </w:rPr>
            </w:pPr>
            <w:r w:rsidRPr="00A92E54">
              <w:rPr>
                <w:rFonts w:ascii="Times New Roman" w:hAnsi="Times New Roman"/>
                <w:b/>
                <w:sz w:val="20"/>
                <w:szCs w:val="20"/>
              </w:rPr>
              <w:t>Micromixer Type</w:t>
            </w:r>
          </w:p>
        </w:tc>
        <w:tc>
          <w:tcPr>
            <w:tcW w:w="2070" w:type="dxa"/>
          </w:tcPr>
          <w:p w:rsidR="00A92E54" w:rsidRPr="00A92E54" w:rsidRDefault="00A92E54" w:rsidP="00A92E54">
            <w:pPr>
              <w:jc w:val="center"/>
              <w:rPr>
                <w:rFonts w:ascii="Times New Roman" w:hAnsi="Times New Roman"/>
                <w:b/>
                <w:sz w:val="20"/>
                <w:szCs w:val="20"/>
              </w:rPr>
            </w:pPr>
            <w:r w:rsidRPr="00A92E54">
              <w:rPr>
                <w:rFonts w:ascii="Times New Roman" w:hAnsi="Times New Roman"/>
                <w:b/>
                <w:sz w:val="20"/>
                <w:szCs w:val="20"/>
              </w:rPr>
              <w:t>Mixing Index (M.I.)</w:t>
            </w:r>
          </w:p>
        </w:tc>
      </w:tr>
      <w:tr w:rsidR="004B3904" w:rsidRPr="00A92E54" w:rsidTr="00A92E54">
        <w:trPr>
          <w:jc w:val="center"/>
        </w:trPr>
        <w:tc>
          <w:tcPr>
            <w:tcW w:w="738"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1</w:t>
            </w:r>
          </w:p>
        </w:tc>
        <w:tc>
          <w:tcPr>
            <w:tcW w:w="2790"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Second generation</w:t>
            </w:r>
          </w:p>
        </w:tc>
        <w:tc>
          <w:tcPr>
            <w:tcW w:w="2070"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28.60</w:t>
            </w:r>
          </w:p>
        </w:tc>
      </w:tr>
      <w:tr w:rsidR="004B3904" w:rsidRPr="00A92E54" w:rsidTr="00A92E54">
        <w:trPr>
          <w:jc w:val="center"/>
        </w:trPr>
        <w:tc>
          <w:tcPr>
            <w:tcW w:w="738"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2</w:t>
            </w:r>
          </w:p>
        </w:tc>
        <w:tc>
          <w:tcPr>
            <w:tcW w:w="2790"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Third generation (Design 2)</w:t>
            </w:r>
          </w:p>
        </w:tc>
        <w:tc>
          <w:tcPr>
            <w:tcW w:w="2070"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26.88</w:t>
            </w:r>
          </w:p>
        </w:tc>
      </w:tr>
      <w:tr w:rsidR="004B3904" w:rsidRPr="00A92E54" w:rsidTr="00A92E54">
        <w:trPr>
          <w:jc w:val="center"/>
        </w:trPr>
        <w:tc>
          <w:tcPr>
            <w:tcW w:w="738"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3</w:t>
            </w:r>
          </w:p>
        </w:tc>
        <w:tc>
          <w:tcPr>
            <w:tcW w:w="2790"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Third generation (Design 3)</w:t>
            </w:r>
          </w:p>
        </w:tc>
        <w:tc>
          <w:tcPr>
            <w:tcW w:w="2070"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65.09</w:t>
            </w:r>
          </w:p>
        </w:tc>
      </w:tr>
      <w:tr w:rsidR="004B3904" w:rsidRPr="00A92E54" w:rsidTr="00A92E54">
        <w:trPr>
          <w:jc w:val="center"/>
        </w:trPr>
        <w:tc>
          <w:tcPr>
            <w:tcW w:w="738"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4</w:t>
            </w:r>
          </w:p>
        </w:tc>
        <w:tc>
          <w:tcPr>
            <w:tcW w:w="2790"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Plastic micromixer</w:t>
            </w:r>
          </w:p>
        </w:tc>
        <w:tc>
          <w:tcPr>
            <w:tcW w:w="2070" w:type="dxa"/>
          </w:tcPr>
          <w:p w:rsidR="00A92E54" w:rsidRPr="00A92E54" w:rsidRDefault="00A92E54" w:rsidP="00A92E54">
            <w:pPr>
              <w:jc w:val="center"/>
              <w:rPr>
                <w:rFonts w:ascii="Times New Roman" w:hAnsi="Times New Roman"/>
                <w:sz w:val="20"/>
                <w:szCs w:val="20"/>
              </w:rPr>
            </w:pPr>
            <w:r w:rsidRPr="00A92E54">
              <w:rPr>
                <w:rFonts w:ascii="Times New Roman" w:hAnsi="Times New Roman"/>
                <w:sz w:val="20"/>
                <w:szCs w:val="20"/>
              </w:rPr>
              <w:t>94.90</w:t>
            </w:r>
          </w:p>
        </w:tc>
      </w:tr>
    </w:tbl>
    <w:p w:rsidR="004B3904" w:rsidRDefault="004B3904" w:rsidP="003A432D">
      <w:pPr>
        <w:jc w:val="both"/>
        <w:rPr>
          <w:rFonts w:ascii="Times New Roman" w:hAnsi="Times New Roman"/>
          <w:sz w:val="20"/>
          <w:szCs w:val="20"/>
        </w:rPr>
      </w:pPr>
    </w:p>
    <w:p w:rsidR="0093153A" w:rsidRDefault="004B3904" w:rsidP="003A432D">
      <w:pPr>
        <w:jc w:val="both"/>
        <w:rPr>
          <w:rFonts w:ascii="Times New Roman" w:hAnsi="Times New Roman"/>
          <w:sz w:val="20"/>
          <w:szCs w:val="20"/>
        </w:rPr>
      </w:pPr>
      <w:r>
        <w:rPr>
          <w:rFonts w:ascii="Times New Roman" w:hAnsi="Times New Roman"/>
          <w:sz w:val="20"/>
          <w:szCs w:val="20"/>
        </w:rPr>
        <w:t>The mixing of the plastic micromixer was evaluated with</w:t>
      </w:r>
      <w:r w:rsidR="001D0D3D">
        <w:rPr>
          <w:rFonts w:ascii="Times New Roman" w:hAnsi="Times New Roman"/>
          <w:sz w:val="20"/>
          <w:szCs w:val="20"/>
        </w:rPr>
        <w:t xml:space="preserve"> a</w:t>
      </w:r>
      <w:r>
        <w:rPr>
          <w:rFonts w:ascii="Times New Roman" w:hAnsi="Times New Roman"/>
          <w:sz w:val="20"/>
          <w:szCs w:val="20"/>
        </w:rPr>
        <w:t xml:space="preserve"> wide range of flow rates. The mixing </w:t>
      </w:r>
      <w:r w:rsidR="001D0D3D">
        <w:rPr>
          <w:rFonts w:ascii="Times New Roman" w:hAnsi="Times New Roman"/>
          <w:sz w:val="20"/>
          <w:szCs w:val="20"/>
        </w:rPr>
        <w:t>efficacy was greater than 90% f</w:t>
      </w:r>
      <w:r>
        <w:rPr>
          <w:rFonts w:ascii="Times New Roman" w:hAnsi="Times New Roman"/>
          <w:sz w:val="20"/>
          <w:szCs w:val="20"/>
        </w:rPr>
        <w:t>r</w:t>
      </w:r>
      <w:r w:rsidR="001D0D3D">
        <w:rPr>
          <w:rFonts w:ascii="Times New Roman" w:hAnsi="Times New Roman"/>
          <w:sz w:val="20"/>
          <w:szCs w:val="20"/>
        </w:rPr>
        <w:t>o</w:t>
      </w:r>
      <w:r>
        <w:rPr>
          <w:rFonts w:ascii="Times New Roman" w:hAnsi="Times New Roman"/>
          <w:sz w:val="20"/>
          <w:szCs w:val="20"/>
        </w:rPr>
        <w:t xml:space="preserve">m Re = 0.1 to Re = 30 and it was reduced with higher flow rates. Figure 2 shows the mixing index of the plastic micromixer with various Re. The Re mentioned in this paper refers to Re calculated at the inlet T –junction. </w:t>
      </w:r>
    </w:p>
    <w:p w:rsidR="006E7F9C" w:rsidRDefault="001D0D3D" w:rsidP="006E7F9C">
      <w:pPr>
        <w:jc w:val="center"/>
        <w:rPr>
          <w:rFonts w:ascii="Times New Roman" w:hAnsi="Times New Roman"/>
          <w:sz w:val="20"/>
          <w:szCs w:val="20"/>
        </w:rPr>
      </w:pPr>
      <w:r>
        <w:rPr>
          <w:rFonts w:ascii="Times New Roman" w:hAnsi="Times New Roman"/>
          <w:noProof/>
          <w:sz w:val="20"/>
          <w:szCs w:val="20"/>
        </w:rPr>
        <w:drawing>
          <wp:inline distT="0" distB="0" distL="0" distR="0">
            <wp:extent cx="4248150" cy="2724150"/>
            <wp:effectExtent l="0" t="0" r="0"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E7F9C" w:rsidRPr="00860D8B" w:rsidRDefault="006E7F9C" w:rsidP="00860D8B">
      <w:pPr>
        <w:jc w:val="center"/>
        <w:rPr>
          <w:rFonts w:ascii="Times New Roman" w:hAnsi="Times New Roman"/>
          <w:sz w:val="18"/>
          <w:szCs w:val="18"/>
        </w:rPr>
      </w:pPr>
      <w:r w:rsidRPr="006E7F9C">
        <w:rPr>
          <w:rFonts w:ascii="Times New Roman" w:hAnsi="Times New Roman"/>
          <w:sz w:val="18"/>
          <w:szCs w:val="18"/>
        </w:rPr>
        <w:t>Fig. 2 Mi</w:t>
      </w:r>
      <w:r w:rsidR="008E0EDE">
        <w:rPr>
          <w:rFonts w:ascii="Times New Roman" w:hAnsi="Times New Roman"/>
          <w:sz w:val="18"/>
          <w:szCs w:val="18"/>
        </w:rPr>
        <w:t>xing index Vs Reynolds number (Re)</w:t>
      </w:r>
      <w:r w:rsidRPr="006E7F9C">
        <w:rPr>
          <w:rFonts w:ascii="Times New Roman" w:hAnsi="Times New Roman"/>
          <w:sz w:val="18"/>
          <w:szCs w:val="18"/>
        </w:rPr>
        <w:t>.</w:t>
      </w:r>
    </w:p>
    <w:p w:rsidR="003A432D" w:rsidRDefault="00EA307D" w:rsidP="00B3444D">
      <w:pPr>
        <w:spacing w:after="0" w:line="240" w:lineRule="auto"/>
        <w:jc w:val="both"/>
        <w:rPr>
          <w:rFonts w:ascii="Times New Roman" w:hAnsi="Times New Roman"/>
          <w:b/>
          <w:sz w:val="20"/>
          <w:szCs w:val="20"/>
        </w:rPr>
      </w:pPr>
      <w:r>
        <w:rPr>
          <w:rFonts w:ascii="Times New Roman" w:hAnsi="Times New Roman"/>
          <w:b/>
          <w:sz w:val="20"/>
          <w:szCs w:val="20"/>
        </w:rPr>
        <w:t>4.</w:t>
      </w:r>
      <w:r>
        <w:rPr>
          <w:rFonts w:ascii="Times New Roman" w:hAnsi="Times New Roman"/>
          <w:b/>
          <w:sz w:val="20"/>
          <w:szCs w:val="20"/>
        </w:rPr>
        <w:tab/>
      </w:r>
      <w:r w:rsidR="00B3444D" w:rsidRPr="00B3444D">
        <w:rPr>
          <w:rFonts w:ascii="Times New Roman" w:hAnsi="Times New Roman"/>
          <w:b/>
          <w:sz w:val="20"/>
          <w:szCs w:val="20"/>
        </w:rPr>
        <w:t>Conclusion</w:t>
      </w:r>
      <w:r w:rsidR="003A432D">
        <w:rPr>
          <w:rFonts w:ascii="Times New Roman" w:hAnsi="Times New Roman"/>
          <w:b/>
          <w:sz w:val="20"/>
          <w:szCs w:val="20"/>
        </w:rPr>
        <w:t xml:space="preserve"> </w:t>
      </w:r>
      <w:r w:rsidR="00184785">
        <w:rPr>
          <w:rFonts w:ascii="Times New Roman" w:hAnsi="Times New Roman"/>
          <w:b/>
          <w:sz w:val="20"/>
          <w:szCs w:val="20"/>
        </w:rPr>
        <w:t>and Future Work</w:t>
      </w:r>
    </w:p>
    <w:p w:rsidR="003A432D" w:rsidRPr="003A432D" w:rsidRDefault="003A432D" w:rsidP="00B3444D">
      <w:pPr>
        <w:spacing w:after="0" w:line="240" w:lineRule="auto"/>
        <w:jc w:val="both"/>
        <w:rPr>
          <w:rFonts w:ascii="Times New Roman" w:hAnsi="Times New Roman"/>
          <w:sz w:val="20"/>
          <w:szCs w:val="20"/>
        </w:rPr>
      </w:pPr>
    </w:p>
    <w:p w:rsidR="003A432D" w:rsidRDefault="008E0EDE" w:rsidP="00B3444D">
      <w:pPr>
        <w:spacing w:after="0" w:line="240" w:lineRule="auto"/>
        <w:jc w:val="both"/>
        <w:rPr>
          <w:rFonts w:ascii="Times New Roman" w:hAnsi="Times New Roman"/>
          <w:sz w:val="20"/>
          <w:szCs w:val="20"/>
        </w:rPr>
      </w:pPr>
      <w:r>
        <w:rPr>
          <w:rFonts w:ascii="Times New Roman" w:hAnsi="Times New Roman"/>
          <w:sz w:val="20"/>
          <w:szCs w:val="20"/>
        </w:rPr>
        <w:t>A simple, low cost flexible micromixer was fabricated on a flexible plastic substrate and mixing efficiency was quantitatively measured using color absorbance and image analysis methods. The developed micromixer has higher mixing efficiency than all the previous generations</w:t>
      </w:r>
      <w:r w:rsidR="008F6067">
        <w:rPr>
          <w:rFonts w:ascii="Times New Roman" w:hAnsi="Times New Roman"/>
          <w:sz w:val="20"/>
          <w:szCs w:val="20"/>
        </w:rPr>
        <w:t xml:space="preserve"> reported by our group</w:t>
      </w:r>
      <w:r>
        <w:rPr>
          <w:rFonts w:ascii="Times New Roman" w:hAnsi="Times New Roman"/>
          <w:sz w:val="20"/>
          <w:szCs w:val="20"/>
        </w:rPr>
        <w:t xml:space="preserve"> and also the mixing efficiency was almost constant for a wide range of Reynolds numbers</w:t>
      </w:r>
      <w:r w:rsidR="00860D8B">
        <w:rPr>
          <w:rFonts w:ascii="Times New Roman" w:hAnsi="Times New Roman"/>
          <w:sz w:val="20"/>
          <w:szCs w:val="20"/>
        </w:rPr>
        <w:t>.</w:t>
      </w:r>
      <w:r w:rsidR="00184785">
        <w:rPr>
          <w:rFonts w:ascii="Times New Roman" w:hAnsi="Times New Roman"/>
          <w:sz w:val="20"/>
          <w:szCs w:val="20"/>
        </w:rPr>
        <w:t xml:space="preserve"> Further experiments include mixing antibody and analyte using the micromixer and integration of micromixer with immunosensor.</w:t>
      </w:r>
    </w:p>
    <w:p w:rsidR="0093153A" w:rsidRPr="003A432D" w:rsidRDefault="0093153A" w:rsidP="00B3444D">
      <w:pPr>
        <w:spacing w:after="0" w:line="240" w:lineRule="auto"/>
        <w:jc w:val="both"/>
        <w:rPr>
          <w:rFonts w:ascii="Times New Roman" w:hAnsi="Times New Roman"/>
          <w:sz w:val="20"/>
          <w:szCs w:val="20"/>
        </w:rPr>
      </w:pPr>
    </w:p>
    <w:p w:rsidR="003A432D" w:rsidRDefault="00EA307D" w:rsidP="00B3444D">
      <w:pPr>
        <w:spacing w:after="0" w:line="240" w:lineRule="auto"/>
        <w:jc w:val="both"/>
        <w:rPr>
          <w:rFonts w:ascii="Times New Roman" w:hAnsi="Times New Roman"/>
          <w:b/>
          <w:sz w:val="20"/>
          <w:szCs w:val="20"/>
        </w:rPr>
      </w:pPr>
      <w:r>
        <w:rPr>
          <w:rFonts w:ascii="Times New Roman" w:hAnsi="Times New Roman"/>
          <w:b/>
          <w:sz w:val="20"/>
          <w:szCs w:val="20"/>
        </w:rPr>
        <w:t>5.</w:t>
      </w:r>
      <w:r>
        <w:rPr>
          <w:rFonts w:ascii="Times New Roman" w:hAnsi="Times New Roman"/>
          <w:b/>
          <w:sz w:val="20"/>
          <w:szCs w:val="20"/>
        </w:rPr>
        <w:tab/>
      </w:r>
      <w:r w:rsidR="003A432D">
        <w:rPr>
          <w:rFonts w:ascii="Times New Roman" w:hAnsi="Times New Roman"/>
          <w:b/>
          <w:sz w:val="20"/>
          <w:szCs w:val="20"/>
        </w:rPr>
        <w:t>Acknowledgments</w:t>
      </w:r>
    </w:p>
    <w:p w:rsidR="003A432D" w:rsidRDefault="003A432D" w:rsidP="00B3444D">
      <w:pPr>
        <w:spacing w:after="0" w:line="240" w:lineRule="auto"/>
        <w:jc w:val="both"/>
        <w:rPr>
          <w:rFonts w:ascii="Times New Roman" w:hAnsi="Times New Roman"/>
          <w:b/>
          <w:sz w:val="20"/>
          <w:szCs w:val="20"/>
        </w:rPr>
      </w:pPr>
    </w:p>
    <w:p w:rsidR="00D31C6A" w:rsidRPr="000E3CAD" w:rsidRDefault="00781890" w:rsidP="00B3444D">
      <w:pPr>
        <w:spacing w:after="0" w:line="240" w:lineRule="auto"/>
        <w:jc w:val="both"/>
        <w:rPr>
          <w:rFonts w:ascii="Times New Roman" w:hAnsi="Times New Roman"/>
          <w:color w:val="FF0000"/>
          <w:sz w:val="20"/>
          <w:szCs w:val="20"/>
        </w:rPr>
      </w:pPr>
      <w:r>
        <w:rPr>
          <w:rFonts w:ascii="Times New Roman" w:hAnsi="Times New Roman"/>
          <w:sz w:val="20"/>
          <w:szCs w:val="20"/>
        </w:rPr>
        <w:t xml:space="preserve">The current work is funded by the NSF EPSCoR </w:t>
      </w:r>
      <w:r w:rsidR="000E3CAD">
        <w:rPr>
          <w:rFonts w:ascii="Times New Roman" w:hAnsi="Times New Roman"/>
          <w:sz w:val="20"/>
          <w:szCs w:val="20"/>
        </w:rPr>
        <w:t>Research Infrastructure Improvement (RII) Award</w:t>
      </w:r>
      <w:r>
        <w:rPr>
          <w:rFonts w:ascii="Times New Roman" w:hAnsi="Times New Roman"/>
          <w:sz w:val="20"/>
          <w:szCs w:val="20"/>
        </w:rPr>
        <w:t xml:space="preserve"> #</w:t>
      </w:r>
      <w:r w:rsidR="008F6067">
        <w:rPr>
          <w:rFonts w:ascii="Times New Roman" w:hAnsi="Times New Roman"/>
          <w:sz w:val="20"/>
          <w:szCs w:val="20"/>
        </w:rPr>
        <w:t xml:space="preserve"> EPS- 0701491.</w:t>
      </w:r>
      <w:r w:rsidRPr="000E3CAD">
        <w:rPr>
          <w:rFonts w:ascii="Times New Roman" w:hAnsi="Times New Roman"/>
          <w:color w:val="FF0000"/>
          <w:sz w:val="20"/>
          <w:szCs w:val="20"/>
        </w:rPr>
        <w:t xml:space="preserve"> </w:t>
      </w:r>
    </w:p>
    <w:p w:rsidR="00D31C6A" w:rsidRDefault="00D31C6A" w:rsidP="00B3444D">
      <w:pPr>
        <w:spacing w:after="0" w:line="240" w:lineRule="auto"/>
        <w:jc w:val="both"/>
        <w:rPr>
          <w:rFonts w:ascii="Times New Roman" w:hAnsi="Times New Roman"/>
          <w:sz w:val="20"/>
          <w:szCs w:val="20"/>
        </w:rPr>
      </w:pPr>
    </w:p>
    <w:p w:rsidR="003A432D" w:rsidRDefault="008F6067" w:rsidP="00B3444D">
      <w:pPr>
        <w:spacing w:after="0" w:line="240" w:lineRule="auto"/>
        <w:jc w:val="both"/>
        <w:rPr>
          <w:rFonts w:ascii="Times New Roman" w:hAnsi="Times New Roman"/>
          <w:sz w:val="20"/>
          <w:szCs w:val="20"/>
        </w:rPr>
      </w:pPr>
      <w:r>
        <w:rPr>
          <w:rFonts w:ascii="Times New Roman" w:hAnsi="Times New Roman"/>
          <w:sz w:val="20"/>
          <w:szCs w:val="20"/>
        </w:rPr>
        <w:t>Acknowledgements are due to Dr. Niel Crews and Ilija Pjesic for their support.</w:t>
      </w:r>
    </w:p>
    <w:p w:rsidR="0093153A" w:rsidRDefault="0093153A" w:rsidP="00B3444D">
      <w:pPr>
        <w:spacing w:after="0" w:line="240" w:lineRule="auto"/>
        <w:jc w:val="both"/>
        <w:rPr>
          <w:rFonts w:ascii="Times New Roman" w:hAnsi="Times New Roman"/>
          <w:sz w:val="20"/>
          <w:szCs w:val="20"/>
        </w:rPr>
      </w:pPr>
    </w:p>
    <w:p w:rsidR="003A432D" w:rsidRDefault="00EA307D" w:rsidP="00B3444D">
      <w:pPr>
        <w:spacing w:after="0" w:line="240" w:lineRule="auto"/>
        <w:jc w:val="both"/>
        <w:rPr>
          <w:rFonts w:ascii="Times New Roman" w:hAnsi="Times New Roman"/>
          <w:b/>
          <w:sz w:val="20"/>
          <w:szCs w:val="20"/>
        </w:rPr>
      </w:pPr>
      <w:r>
        <w:rPr>
          <w:rFonts w:ascii="Times New Roman" w:hAnsi="Times New Roman"/>
          <w:b/>
          <w:sz w:val="20"/>
          <w:szCs w:val="20"/>
        </w:rPr>
        <w:t>6.</w:t>
      </w:r>
      <w:r>
        <w:rPr>
          <w:rFonts w:ascii="Times New Roman" w:hAnsi="Times New Roman"/>
          <w:b/>
          <w:sz w:val="20"/>
          <w:szCs w:val="20"/>
        </w:rPr>
        <w:tab/>
      </w:r>
      <w:r w:rsidR="003A432D" w:rsidRPr="003A432D">
        <w:rPr>
          <w:rFonts w:ascii="Times New Roman" w:hAnsi="Times New Roman"/>
          <w:b/>
          <w:sz w:val="20"/>
          <w:szCs w:val="20"/>
        </w:rPr>
        <w:t>References</w:t>
      </w:r>
    </w:p>
    <w:p w:rsidR="003A432D" w:rsidRDefault="003A432D" w:rsidP="00B3444D">
      <w:pPr>
        <w:spacing w:after="0" w:line="240" w:lineRule="auto"/>
        <w:jc w:val="both"/>
        <w:rPr>
          <w:rFonts w:ascii="Times New Roman" w:hAnsi="Times New Roman"/>
          <w:sz w:val="20"/>
          <w:szCs w:val="20"/>
        </w:rPr>
      </w:pPr>
    </w:p>
    <w:p w:rsidR="00A000DF" w:rsidRDefault="006F3BCB" w:rsidP="00A000DF">
      <w:pPr>
        <w:spacing w:after="0" w:line="240" w:lineRule="auto"/>
        <w:jc w:val="both"/>
        <w:rPr>
          <w:rFonts w:ascii="Times New Roman" w:hAnsi="Times New Roman"/>
          <w:sz w:val="20"/>
          <w:szCs w:val="20"/>
        </w:rPr>
      </w:pPr>
      <w:r>
        <w:rPr>
          <w:rFonts w:ascii="Times New Roman" w:hAnsi="Times New Roman"/>
          <w:sz w:val="20"/>
          <w:szCs w:val="20"/>
        </w:rPr>
        <w:t>[</w:t>
      </w:r>
      <w:r w:rsidR="0093153A">
        <w:rPr>
          <w:rFonts w:ascii="Times New Roman" w:hAnsi="Times New Roman"/>
          <w:sz w:val="20"/>
          <w:szCs w:val="20"/>
        </w:rPr>
        <w:t>1</w:t>
      </w:r>
      <w:r>
        <w:rPr>
          <w:rFonts w:ascii="Times New Roman" w:hAnsi="Times New Roman"/>
          <w:sz w:val="20"/>
          <w:szCs w:val="20"/>
        </w:rPr>
        <w:t>]</w:t>
      </w:r>
      <w:r w:rsidR="00A000DF">
        <w:rPr>
          <w:rFonts w:ascii="Times New Roman" w:hAnsi="Times New Roman"/>
          <w:sz w:val="20"/>
          <w:szCs w:val="20"/>
        </w:rPr>
        <w:t xml:space="preserve"> V. Hessel, H. Lowe, F. Schonfeld, Micromixers-a review on passive and active mixing principles, Chem Eng. Sci., Vol. 60, pp. 247</w:t>
      </w:r>
      <w:r w:rsidR="00184785">
        <w:rPr>
          <w:rFonts w:ascii="Times New Roman" w:hAnsi="Times New Roman"/>
          <w:sz w:val="20"/>
          <w:szCs w:val="20"/>
        </w:rPr>
        <w:t>9-2501 (2005)</w:t>
      </w:r>
    </w:p>
    <w:p w:rsidR="00A000DF" w:rsidRDefault="00A000DF" w:rsidP="00A000DF">
      <w:pPr>
        <w:spacing w:after="0" w:line="240" w:lineRule="auto"/>
        <w:jc w:val="both"/>
        <w:rPr>
          <w:rFonts w:ascii="Times New Roman" w:hAnsi="Times New Roman"/>
          <w:sz w:val="20"/>
          <w:szCs w:val="20"/>
        </w:rPr>
      </w:pPr>
      <w:r>
        <w:rPr>
          <w:rFonts w:ascii="Times New Roman" w:hAnsi="Times New Roman"/>
          <w:sz w:val="20"/>
          <w:szCs w:val="20"/>
        </w:rPr>
        <w:t xml:space="preserve">[2] N. Nguyen, Z. Wu, Micromixers-a review, J. Micromech. Microeng., Vol. 25, pp. R1-R16 (2005) </w:t>
      </w:r>
    </w:p>
    <w:p w:rsidR="0093153A" w:rsidRDefault="0093153A" w:rsidP="00B3444D">
      <w:pPr>
        <w:spacing w:after="0" w:line="240" w:lineRule="auto"/>
        <w:jc w:val="both"/>
        <w:rPr>
          <w:rFonts w:ascii="Times New Roman" w:hAnsi="Times New Roman"/>
          <w:sz w:val="20"/>
          <w:szCs w:val="20"/>
        </w:rPr>
      </w:pPr>
    </w:p>
    <w:p w:rsidR="00D02A24" w:rsidRPr="003A432D" w:rsidRDefault="00D02A24" w:rsidP="00B3444D">
      <w:pPr>
        <w:spacing w:after="0" w:line="240" w:lineRule="auto"/>
        <w:jc w:val="both"/>
        <w:rPr>
          <w:rFonts w:ascii="Times New Roman" w:hAnsi="Times New Roman"/>
          <w:sz w:val="20"/>
          <w:szCs w:val="20"/>
        </w:rPr>
      </w:pPr>
    </w:p>
    <w:sectPr w:rsidR="00D02A24" w:rsidRPr="003A432D" w:rsidSect="00CB2480">
      <w:headerReference w:type="default" r:id="rId12"/>
      <w:footerReference w:type="default" r:id="rId13"/>
      <w:pgSz w:w="12240" w:h="15840" w:code="1"/>
      <w:pgMar w:top="2880" w:right="1541" w:bottom="2880" w:left="154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9BF" w:rsidRDefault="000409BF" w:rsidP="00426727">
      <w:pPr>
        <w:spacing w:after="0" w:line="240" w:lineRule="auto"/>
      </w:pPr>
      <w:r>
        <w:separator/>
      </w:r>
    </w:p>
  </w:endnote>
  <w:endnote w:type="continuationSeparator" w:id="0">
    <w:p w:rsidR="000409BF" w:rsidRDefault="000409BF" w:rsidP="0042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1C6A" w:rsidRDefault="00D31C6A">
    <w:pPr>
      <w:pStyle w:val="Footer"/>
      <w:jc w:val="center"/>
    </w:pPr>
  </w:p>
  <w:p w:rsidR="00D31C6A" w:rsidRDefault="00D31C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9BF" w:rsidRDefault="000409BF" w:rsidP="00426727">
      <w:pPr>
        <w:spacing w:after="0" w:line="240" w:lineRule="auto"/>
      </w:pPr>
      <w:r>
        <w:separator/>
      </w:r>
    </w:p>
  </w:footnote>
  <w:footnote w:type="continuationSeparator" w:id="0">
    <w:p w:rsidR="000409BF" w:rsidRDefault="000409BF" w:rsidP="00426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727" w:rsidRDefault="00426727" w:rsidP="00426727">
    <w:pPr>
      <w:pStyle w:val="Header"/>
      <w:jc w:val="center"/>
      <w:rPr>
        <w:rFonts w:ascii="Times New Roman" w:hAnsi="Times New Roman"/>
        <w:i/>
        <w:sz w:val="20"/>
        <w:szCs w:val="20"/>
      </w:rPr>
    </w:pPr>
    <w:r w:rsidRPr="00426727">
      <w:rPr>
        <w:rFonts w:ascii="Times New Roman" w:hAnsi="Times New Roman"/>
        <w:i/>
        <w:sz w:val="20"/>
        <w:szCs w:val="20"/>
      </w:rPr>
      <w:t>Proceedings of Louisiana EPSCoR RII Cybertools/Science Drivers 2010 Symposium</w:t>
    </w:r>
  </w:p>
  <w:p w:rsidR="00F66FFC" w:rsidRDefault="00F66FFC" w:rsidP="00426727">
    <w:pPr>
      <w:pStyle w:val="Header"/>
      <w:jc w:val="center"/>
      <w:rPr>
        <w:rFonts w:ascii="Times New Roman" w:hAnsi="Times New Roman"/>
        <w:i/>
        <w:sz w:val="20"/>
        <w:szCs w:val="20"/>
      </w:rPr>
    </w:pPr>
  </w:p>
  <w:p w:rsidR="00426727" w:rsidRPr="00426727" w:rsidRDefault="00426727">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D25F0"/>
    <w:multiLevelType w:val="hybridMultilevel"/>
    <w:tmpl w:val="5CE4F3EA"/>
    <w:lvl w:ilvl="0" w:tplc="89749DEC">
      <w:start w:val="1"/>
      <w:numFmt w:val="decimal"/>
      <w:lvlText w:val="[%1]"/>
      <w:lvlJc w:val="center"/>
      <w:pPr>
        <w:ind w:left="720" w:hanging="360"/>
      </w:pPr>
    </w:lvl>
    <w:lvl w:ilvl="1" w:tplc="207479C4">
      <w:start w:val="1"/>
      <w:numFmt w:val="upp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67B9020E"/>
    <w:multiLevelType w:val="hybridMultilevel"/>
    <w:tmpl w:val="ECA0709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32"/>
    <w:rsid w:val="0001422C"/>
    <w:rsid w:val="000409BF"/>
    <w:rsid w:val="00082E5E"/>
    <w:rsid w:val="00094629"/>
    <w:rsid w:val="000E3CAD"/>
    <w:rsid w:val="000E58D6"/>
    <w:rsid w:val="001178D2"/>
    <w:rsid w:val="00122D9D"/>
    <w:rsid w:val="00184785"/>
    <w:rsid w:val="0019695E"/>
    <w:rsid w:val="001C109E"/>
    <w:rsid w:val="001C2EF8"/>
    <w:rsid w:val="001D0D3D"/>
    <w:rsid w:val="001F2B27"/>
    <w:rsid w:val="00251095"/>
    <w:rsid w:val="002524F0"/>
    <w:rsid w:val="002666A9"/>
    <w:rsid w:val="00293600"/>
    <w:rsid w:val="00307480"/>
    <w:rsid w:val="003303D2"/>
    <w:rsid w:val="003549CD"/>
    <w:rsid w:val="00357745"/>
    <w:rsid w:val="003A432D"/>
    <w:rsid w:val="003F48BD"/>
    <w:rsid w:val="004039E9"/>
    <w:rsid w:val="00411B67"/>
    <w:rsid w:val="00416D31"/>
    <w:rsid w:val="00424372"/>
    <w:rsid w:val="00426727"/>
    <w:rsid w:val="004A308A"/>
    <w:rsid w:val="004A6B3C"/>
    <w:rsid w:val="004B2720"/>
    <w:rsid w:val="004B3904"/>
    <w:rsid w:val="004B4AE4"/>
    <w:rsid w:val="004C443F"/>
    <w:rsid w:val="004F1A4D"/>
    <w:rsid w:val="00567BD7"/>
    <w:rsid w:val="0057240C"/>
    <w:rsid w:val="00593C2E"/>
    <w:rsid w:val="005C3500"/>
    <w:rsid w:val="005E1690"/>
    <w:rsid w:val="005E3CC3"/>
    <w:rsid w:val="006144F4"/>
    <w:rsid w:val="00646587"/>
    <w:rsid w:val="006D02DE"/>
    <w:rsid w:val="006E7F9C"/>
    <w:rsid w:val="006F1CF7"/>
    <w:rsid w:val="006F3BCB"/>
    <w:rsid w:val="0073524C"/>
    <w:rsid w:val="00781890"/>
    <w:rsid w:val="007C68DF"/>
    <w:rsid w:val="00802719"/>
    <w:rsid w:val="0085620C"/>
    <w:rsid w:val="00860D8B"/>
    <w:rsid w:val="008A3133"/>
    <w:rsid w:val="008E0EDE"/>
    <w:rsid w:val="008F6067"/>
    <w:rsid w:val="0090787A"/>
    <w:rsid w:val="00917832"/>
    <w:rsid w:val="0093153A"/>
    <w:rsid w:val="00A000DF"/>
    <w:rsid w:val="00A15EE4"/>
    <w:rsid w:val="00A60471"/>
    <w:rsid w:val="00A84C3D"/>
    <w:rsid w:val="00A92E54"/>
    <w:rsid w:val="00B33544"/>
    <w:rsid w:val="00B3444D"/>
    <w:rsid w:val="00B57469"/>
    <w:rsid w:val="00B7392F"/>
    <w:rsid w:val="00BB64CD"/>
    <w:rsid w:val="00C35A8E"/>
    <w:rsid w:val="00C5000D"/>
    <w:rsid w:val="00C555BB"/>
    <w:rsid w:val="00C56412"/>
    <w:rsid w:val="00C6201A"/>
    <w:rsid w:val="00C620DE"/>
    <w:rsid w:val="00CA631D"/>
    <w:rsid w:val="00CB2480"/>
    <w:rsid w:val="00D02A24"/>
    <w:rsid w:val="00D230FC"/>
    <w:rsid w:val="00D24822"/>
    <w:rsid w:val="00D31C6A"/>
    <w:rsid w:val="00D46D83"/>
    <w:rsid w:val="00D81CD4"/>
    <w:rsid w:val="00DD35AF"/>
    <w:rsid w:val="00DD4945"/>
    <w:rsid w:val="00DE32C4"/>
    <w:rsid w:val="00E2611A"/>
    <w:rsid w:val="00E70FBE"/>
    <w:rsid w:val="00E87AD0"/>
    <w:rsid w:val="00EA307D"/>
    <w:rsid w:val="00EC18D3"/>
    <w:rsid w:val="00F17F38"/>
    <w:rsid w:val="00F260E9"/>
    <w:rsid w:val="00F56665"/>
    <w:rsid w:val="00F669FE"/>
    <w:rsid w:val="00F66FFC"/>
    <w:rsid w:val="00F86049"/>
    <w:rsid w:val="00F949E3"/>
    <w:rsid w:val="00FB7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727"/>
  </w:style>
  <w:style w:type="paragraph" w:styleId="Footer">
    <w:name w:val="footer"/>
    <w:basedOn w:val="Normal"/>
    <w:link w:val="FooterChar"/>
    <w:uiPriority w:val="99"/>
    <w:unhideWhenUsed/>
    <w:rsid w:val="0042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727"/>
  </w:style>
  <w:style w:type="paragraph" w:styleId="BalloonText">
    <w:name w:val="Balloon Text"/>
    <w:basedOn w:val="Normal"/>
    <w:link w:val="BalloonTextChar"/>
    <w:uiPriority w:val="99"/>
    <w:semiHidden/>
    <w:unhideWhenUsed/>
    <w:rsid w:val="0042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27"/>
    <w:rPr>
      <w:rFonts w:ascii="Tahoma" w:hAnsi="Tahoma" w:cs="Tahoma"/>
      <w:sz w:val="16"/>
      <w:szCs w:val="16"/>
    </w:rPr>
  </w:style>
  <w:style w:type="paragraph" w:styleId="ListParagraph">
    <w:name w:val="List Paragraph"/>
    <w:basedOn w:val="Normal"/>
    <w:uiPriority w:val="34"/>
    <w:qFormat/>
    <w:rsid w:val="00EA307D"/>
    <w:pPr>
      <w:ind w:left="720"/>
      <w:contextualSpacing/>
    </w:pPr>
  </w:style>
  <w:style w:type="table" w:styleId="TableGrid">
    <w:name w:val="Table Grid"/>
    <w:basedOn w:val="TableNormal"/>
    <w:uiPriority w:val="59"/>
    <w:rsid w:val="00A92E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01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727"/>
  </w:style>
  <w:style w:type="paragraph" w:styleId="Footer">
    <w:name w:val="footer"/>
    <w:basedOn w:val="Normal"/>
    <w:link w:val="FooterChar"/>
    <w:uiPriority w:val="99"/>
    <w:unhideWhenUsed/>
    <w:rsid w:val="0042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727"/>
  </w:style>
  <w:style w:type="paragraph" w:styleId="BalloonText">
    <w:name w:val="Balloon Text"/>
    <w:basedOn w:val="Normal"/>
    <w:link w:val="BalloonTextChar"/>
    <w:uiPriority w:val="99"/>
    <w:semiHidden/>
    <w:unhideWhenUsed/>
    <w:rsid w:val="00426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727"/>
    <w:rPr>
      <w:rFonts w:ascii="Tahoma" w:hAnsi="Tahoma" w:cs="Tahoma"/>
      <w:sz w:val="16"/>
      <w:szCs w:val="16"/>
    </w:rPr>
  </w:style>
  <w:style w:type="paragraph" w:styleId="ListParagraph">
    <w:name w:val="List Paragraph"/>
    <w:basedOn w:val="Normal"/>
    <w:uiPriority w:val="34"/>
    <w:qFormat/>
    <w:rsid w:val="00EA307D"/>
    <w:pPr>
      <w:ind w:left="720"/>
      <w:contextualSpacing/>
    </w:pPr>
  </w:style>
  <w:style w:type="table" w:styleId="TableGrid">
    <w:name w:val="Table Grid"/>
    <w:basedOn w:val="TableNormal"/>
    <w:uiPriority w:val="59"/>
    <w:rsid w:val="00A92E5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779370">
      <w:bodyDiv w:val="1"/>
      <w:marLeft w:val="0"/>
      <w:marRight w:val="0"/>
      <w:marTop w:val="0"/>
      <w:marBottom w:val="0"/>
      <w:divBdr>
        <w:top w:val="none" w:sz="0" w:space="0" w:color="auto"/>
        <w:left w:val="none" w:sz="0" w:space="0" w:color="auto"/>
        <w:bottom w:val="none" w:sz="0" w:space="0" w:color="auto"/>
        <w:right w:val="none" w:sz="0" w:space="0" w:color="auto"/>
      </w:divBdr>
    </w:div>
    <w:div w:id="111506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ssica.Domingue\My%20Documents\Symposium%20Proceedings%20Template.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G:\Plastic%20Micromixers\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596218553620799"/>
          <c:y val="1.9409278401435703E-2"/>
          <c:w val="0.8140578250173035"/>
          <c:h val="0.73313620762439746"/>
        </c:manualLayout>
      </c:layout>
      <c:barChart>
        <c:barDir val="col"/>
        <c:grouping val="clustered"/>
        <c:varyColors val="0"/>
        <c:ser>
          <c:idx val="0"/>
          <c:order val="0"/>
          <c:tx>
            <c:strRef>
              <c:f>Sheet1!$G$1</c:f>
              <c:strCache>
                <c:ptCount val="1"/>
                <c:pt idx="0">
                  <c:v>Mean</c:v>
                </c:pt>
              </c:strCache>
            </c:strRef>
          </c:tx>
          <c:invertIfNegative val="0"/>
          <c:errBars>
            <c:errBarType val="both"/>
            <c:errValType val="cust"/>
            <c:noEndCap val="0"/>
            <c:plus>
              <c:numRef>
                <c:f>Sheet1!$J$2:$J$9</c:f>
                <c:numCache>
                  <c:formatCode>General</c:formatCode>
                  <c:ptCount val="8"/>
                  <c:pt idx="0">
                    <c:v>1.2876594977575038</c:v>
                  </c:pt>
                  <c:pt idx="1">
                    <c:v>0.94285469729162164</c:v>
                  </c:pt>
                  <c:pt idx="2">
                    <c:v>2.2390425867666877</c:v>
                  </c:pt>
                  <c:pt idx="3">
                    <c:v>2.0447600418697842</c:v>
                  </c:pt>
                  <c:pt idx="4">
                    <c:v>1.4767075167119601</c:v>
                  </c:pt>
                  <c:pt idx="5">
                    <c:v>4.0019283002311123</c:v>
                  </c:pt>
                  <c:pt idx="6">
                    <c:v>4.3761615004864796</c:v>
                  </c:pt>
                  <c:pt idx="7">
                    <c:v>8.4168615979089729</c:v>
                  </c:pt>
                </c:numCache>
              </c:numRef>
            </c:plus>
            <c:minus>
              <c:numRef>
                <c:f>Sheet1!$J$2:$J$9</c:f>
                <c:numCache>
                  <c:formatCode>General</c:formatCode>
                  <c:ptCount val="8"/>
                  <c:pt idx="0">
                    <c:v>1.2876594977575038</c:v>
                  </c:pt>
                  <c:pt idx="1">
                    <c:v>0.94285469729162164</c:v>
                  </c:pt>
                  <c:pt idx="2">
                    <c:v>2.2390425867666877</c:v>
                  </c:pt>
                  <c:pt idx="3">
                    <c:v>2.0447600418697842</c:v>
                  </c:pt>
                  <c:pt idx="4">
                    <c:v>1.4767075167119601</c:v>
                  </c:pt>
                  <c:pt idx="5">
                    <c:v>4.0019283002311123</c:v>
                  </c:pt>
                  <c:pt idx="6">
                    <c:v>4.3761615004864796</c:v>
                  </c:pt>
                  <c:pt idx="7">
                    <c:v>8.4168615979089729</c:v>
                  </c:pt>
                </c:numCache>
              </c:numRef>
            </c:minus>
            <c:spPr>
              <a:ln w="19050">
                <a:solidFill>
                  <a:schemeClr val="tx1"/>
                </a:solidFill>
              </a:ln>
            </c:spPr>
          </c:errBars>
          <c:cat>
            <c:numRef>
              <c:f>Sheet1!$A$2:$A$9</c:f>
              <c:numCache>
                <c:formatCode>General</c:formatCode>
                <c:ptCount val="8"/>
                <c:pt idx="0">
                  <c:v>0.1</c:v>
                </c:pt>
                <c:pt idx="1">
                  <c:v>1</c:v>
                </c:pt>
                <c:pt idx="2">
                  <c:v>10</c:v>
                </c:pt>
                <c:pt idx="3">
                  <c:v>20</c:v>
                </c:pt>
                <c:pt idx="4">
                  <c:v>30</c:v>
                </c:pt>
                <c:pt idx="5">
                  <c:v>40</c:v>
                </c:pt>
                <c:pt idx="6">
                  <c:v>50</c:v>
                </c:pt>
                <c:pt idx="7">
                  <c:v>100</c:v>
                </c:pt>
              </c:numCache>
            </c:numRef>
          </c:cat>
          <c:val>
            <c:numRef>
              <c:f>Sheet1!$G$2:$G$9</c:f>
              <c:numCache>
                <c:formatCode>General</c:formatCode>
                <c:ptCount val="8"/>
                <c:pt idx="0">
                  <c:v>94.772141014617318</c:v>
                </c:pt>
                <c:pt idx="1">
                  <c:v>96.190885640584355</c:v>
                </c:pt>
                <c:pt idx="2">
                  <c:v>95.778159931212627</c:v>
                </c:pt>
                <c:pt idx="3">
                  <c:v>93.912295786758392</c:v>
                </c:pt>
                <c:pt idx="4">
                  <c:v>97.076526225279466</c:v>
                </c:pt>
                <c:pt idx="5">
                  <c:v>83.048460382686514</c:v>
                </c:pt>
                <c:pt idx="6">
                  <c:v>84.825119236883495</c:v>
                </c:pt>
                <c:pt idx="7">
                  <c:v>69.700620255715805</c:v>
                </c:pt>
              </c:numCache>
            </c:numRef>
          </c:val>
        </c:ser>
        <c:dLbls>
          <c:showLegendKey val="0"/>
          <c:showVal val="0"/>
          <c:showCatName val="0"/>
          <c:showSerName val="0"/>
          <c:showPercent val="0"/>
          <c:showBubbleSize val="0"/>
        </c:dLbls>
        <c:gapWidth val="150"/>
        <c:axId val="136984064"/>
        <c:axId val="136985984"/>
      </c:barChart>
      <c:catAx>
        <c:axId val="136984064"/>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Reynolds number (Re)</a:t>
                </a:r>
              </a:p>
            </c:rich>
          </c:tx>
          <c:layout>
            <c:manualLayout>
              <c:xMode val="edge"/>
              <c:yMode val="edge"/>
              <c:x val="0.34855341515730931"/>
              <c:y val="0.88764568764568896"/>
            </c:manualLayout>
          </c:layout>
          <c:overlay val="0"/>
        </c:title>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en-US"/>
          </a:p>
        </c:txPr>
        <c:crossAx val="136985984"/>
        <c:crosses val="autoZero"/>
        <c:auto val="1"/>
        <c:lblAlgn val="ctr"/>
        <c:lblOffset val="100"/>
        <c:noMultiLvlLbl val="0"/>
      </c:catAx>
      <c:valAx>
        <c:axId val="136985984"/>
        <c:scaling>
          <c:orientation val="minMax"/>
          <c:max val="100"/>
          <c:min val="50"/>
        </c:scaling>
        <c:delete val="0"/>
        <c:axPos val="l"/>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Mixing Index (%)</a:t>
                </a:r>
              </a:p>
            </c:rich>
          </c:tx>
          <c:layout>
            <c:manualLayout>
              <c:xMode val="edge"/>
              <c:yMode val="edge"/>
              <c:x val="3.0325582670312442E-3"/>
              <c:y val="0.21789035111869781"/>
            </c:manualLayout>
          </c:layout>
          <c:overlay val="0"/>
        </c:title>
        <c:numFmt formatCode="General" sourceLinked="1"/>
        <c:majorTickMark val="out"/>
        <c:minorTickMark val="none"/>
        <c:tickLblPos val="nextTo"/>
        <c:txPr>
          <a:bodyPr/>
          <a:lstStyle/>
          <a:p>
            <a:pPr>
              <a:defRPr sz="1000" b="1">
                <a:latin typeface="Times New Roman" pitchFamily="18" charset="0"/>
                <a:cs typeface="Times New Roman" pitchFamily="18" charset="0"/>
              </a:defRPr>
            </a:pPr>
            <a:endParaRPr lang="en-US"/>
          </a:p>
        </c:txPr>
        <c:crossAx val="136984064"/>
        <c:crosses val="autoZero"/>
        <c:crossBetween val="between"/>
        <c:majorUnit val="10"/>
        <c:minorUnit val="5"/>
      </c:valAx>
      <c:spPr>
        <a:noFill/>
        <a:ln w="25400">
          <a:noFill/>
        </a:ln>
      </c:spPr>
    </c:plotArea>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Symposium Proceedings Template</Template>
  <TotalTime>1</TotalTime>
  <Pages>3</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Louisiana Board of Regents</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jessica.domingue</dc:creator>
  <cp:lastModifiedBy>shelley</cp:lastModifiedBy>
  <cp:revision>2</cp:revision>
  <cp:lastPrinted>2010-04-27T18:11:00Z</cp:lastPrinted>
  <dcterms:created xsi:type="dcterms:W3CDTF">2011-03-28T16:15:00Z</dcterms:created>
  <dcterms:modified xsi:type="dcterms:W3CDTF">2011-03-28T16:15:00Z</dcterms:modified>
</cp:coreProperties>
</file>